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乌审旗嘎鲁图镇建筑垃圾处理项目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乌审旗市政公用事业服务中心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内蒙古合和项目管理有限责任公司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ESZCWSS-G-F-250016</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内蒙古合和项目管理有限责任公司</w:t>
      </w:r>
      <w:r>
        <w:rPr>
          <w:rFonts w:ascii="仿宋_GB2312" w:hAnsi="仿宋_GB2312" w:cs="仿宋_GB2312" w:eastAsia="仿宋_GB2312"/>
        </w:rPr>
        <w:t xml:space="preserve"> 受 </w:t>
      </w:r>
      <w:r>
        <w:rPr>
          <w:rFonts w:ascii="仿宋_GB2312" w:hAnsi="仿宋_GB2312" w:cs="仿宋_GB2312" w:eastAsia="仿宋_GB2312"/>
        </w:rPr>
        <w:t>乌审旗市政公用事业服务中心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乌审旗嘎鲁图镇建筑垃圾处理项目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乌审旗嘎鲁图镇建筑垃圾处理项目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ESZCWSS-G-F-250016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BUYPLANNUM[2025]00386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6,170,000.00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建筑垃圾处理项目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内蒙古合和项目管理有限责任公司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内蒙古自治区鄂尔多斯市东胜区恒森二期底商S2-103号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15804802840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乌审旗市政公用事业服务中心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内蒙古自治区鄂尔多斯市乌审旗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18847787767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代理服务费收费标准：以中标通知书中确定的中标总价为计算基数，参照内工建协[2022]34号文规定取费。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乌审旗市政公用事业服务中心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内蒙古合和项目管理有限责任公司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 2023 年度或 2024 年度至今任意一年度经会计师事务所出具的财务审计报告或其基本开户银行出具的近一年内的银行资信证明。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处理存量建筑垃圾约6.5万吨，实现综合利用率达到80%，无害化率达到100%，同时分拣破碎生产线所需要的设备如下：中型挖掘机2台，装载机1台，水车1辆；建筑垃圾分拣破碎生产线所需设备一台重筛，一台人工分选平台，一台移动分选机，一级破碎机，二级细碎机等设备，生产线需要各类技术及服务工人24人，服务期限为60天。</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自合同签订之日起2个月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采购人约定履约地点和方式</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1、服务期第一个月结束，按垃圾处理量（以计量结果为准）计算服务费，依据旗财政拨款情况予以支付。，达到付款条件起15日，支付合同总金额的50.00%</w:t>
            </w:r>
          </w:p>
          <w:p>
            <w:pPr>
              <w:pStyle w:val="null5"/>
              <w:jc w:val="left"/>
            </w:pPr>
            <w:r>
              <w:rPr>
                <w:rFonts w:ascii="仿宋_GB2312" w:hAnsi="仿宋_GB2312" w:cs="仿宋_GB2312" w:eastAsia="仿宋_GB2312"/>
              </w:rPr>
              <w:t>2、服务期结束，按垃圾处理量（以计量结果为准）计算服务费，依据旗财政拨款情况予以支付。，达到付款条件起15日，支付合同总金额的50.00%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标的名称：建筑垃圾处理项目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中标单位的作业质量严格遵守《中华人民共和国固体废物污染环境防治法》、《城市市容和环境卫生管理条例》、《城市建筑垃圾管理规定》</w:t>
            </w:r>
            <w:r>
              <w:rPr>
                <w:rFonts w:ascii="仿宋_GB2312" w:hAnsi="仿宋_GB2312" w:cs="仿宋_GB2312" w:eastAsia="仿宋_GB2312"/>
                <w:sz w:val="21"/>
              </w:rPr>
              <w:t>、</w:t>
            </w:r>
            <w:r>
              <w:rPr>
                <w:rFonts w:ascii="仿宋_GB2312" w:hAnsi="仿宋_GB2312" w:cs="仿宋_GB2312" w:eastAsia="仿宋_GB2312"/>
                <w:sz w:val="21"/>
              </w:rPr>
              <w:t>《建筑垃圾处理技术标准》等国家政策，以及自治区</w:t>
            </w:r>
            <w:r>
              <w:rPr>
                <w:rFonts w:ascii="仿宋_GB2312" w:hAnsi="仿宋_GB2312" w:cs="仿宋_GB2312" w:eastAsia="仿宋_GB2312"/>
                <w:sz w:val="21"/>
              </w:rPr>
              <w:t>、鄂尔多斯市、乌审旗的相关规定要求。</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中标单位应具有建筑垃圾分类处理的方案和对废混凝土、金属、木材等回收利用的方案。建筑垃圾综合利用率达到</w:t>
            </w:r>
            <w:r>
              <w:rPr>
                <w:rFonts w:ascii="仿宋_GB2312" w:hAnsi="仿宋_GB2312" w:cs="仿宋_GB2312" w:eastAsia="仿宋_GB2312"/>
                <w:sz w:val="21"/>
              </w:rPr>
              <w:t>80%以上。</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按规定分类收纳、堆放、处置建筑垃圾，不得接收未经核准或者与核准不相符的建筑垃圾，不得擅自接收工业固体废物、生活垃圾、危险废物等固体废物。</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保持车辆冲洗、计量称重、视频监控等设施设备正常使用，落实安全生产相关要求；建立建筑垃圾管理台账，如实记录建筑垃圾来源、种类、数量、产品去向等信息，及时上报至当地生态环境主管部门。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规范处理建筑垃圾，配置环境监测、噪声监测、水质污染监测等措施；具备有效的防尘措施，例如安装管网、及时洒水、及时清运处理等措施，避免大气污染</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rPr>
              <w:t>明确组织机构配置，配备具有相应资格及能力的人员，</w:t>
            </w:r>
            <w:r>
              <w:rPr>
                <w:rFonts w:ascii="仿宋_GB2312" w:hAnsi="仿宋_GB2312" w:cs="仿宋_GB2312" w:eastAsia="仿宋_GB2312"/>
                <w:sz w:val="21"/>
              </w:rPr>
              <w:t>明确负责人、管理人员、调度人员、保洁人员等的权责义务，具</w:t>
            </w:r>
            <w:r>
              <w:rPr>
                <w:rFonts w:ascii="仿宋_GB2312" w:hAnsi="仿宋_GB2312" w:cs="仿宋_GB2312" w:eastAsia="仿宋_GB2312"/>
                <w:sz w:val="21"/>
              </w:rPr>
              <w:t>有完善的培训制度，操作人员及特种作业人员</w:t>
            </w:r>
            <w:r>
              <w:rPr>
                <w:rFonts w:ascii="仿宋_GB2312" w:hAnsi="仿宋_GB2312" w:cs="仿宋_GB2312" w:eastAsia="仿宋_GB2312"/>
                <w:sz w:val="21"/>
              </w:rPr>
              <w:t>100%持证上岗， 制定可执行的人员绩效考核制度。</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rPr>
              <w:t>实际处理过程中，处理单位应安装计量称重、视频监控等设施设备，建立存量建筑垃圾管理台账，如实记录建筑垃圾来源、种类、数量等信息，及时上报至乌审旗市政公用事业服务中心，</w:t>
            </w:r>
            <w:r>
              <w:rPr>
                <w:rFonts w:ascii="仿宋_GB2312" w:hAnsi="仿宋_GB2312" w:cs="仿宋_GB2312" w:eastAsia="仿宋_GB2312"/>
                <w:sz w:val="21"/>
              </w:rPr>
              <w:t>最终垃圾处理量以计量结果为准。</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建筑垃圾</w:t>
            </w:r>
            <w:r>
              <w:rPr>
                <w:rFonts w:ascii="仿宋_GB2312" w:hAnsi="仿宋_GB2312" w:cs="仿宋_GB2312" w:eastAsia="仿宋_GB2312"/>
                <w:sz w:val="21"/>
              </w:rPr>
              <w:t>分拣破碎生产线所需设备如下：</w:t>
            </w:r>
            <w:r>
              <w:rPr>
                <w:rFonts w:ascii="仿宋_GB2312" w:hAnsi="仿宋_GB2312" w:cs="仿宋_GB2312" w:eastAsia="仿宋_GB2312"/>
                <w:sz w:val="21"/>
              </w:rPr>
              <w:t>中型挖掘机</w:t>
            </w:r>
            <w:r>
              <w:rPr>
                <w:rFonts w:ascii="仿宋_GB2312" w:hAnsi="仿宋_GB2312" w:cs="仿宋_GB2312" w:eastAsia="仿宋_GB2312"/>
                <w:sz w:val="21"/>
              </w:rPr>
              <w:t>2台，装载机1台，⽔⻋1辆；建筑垃圾分拣破碎⽣产线所需设备⼀台重筛，⼀台⼈⼯分选平台，⼀台移动分选机，⼀级破碎机，⼆级细碎机等设备</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rPr>
              <w:t>1.本项目建筑垃圾约</w:t>
            </w:r>
            <w:r>
              <w:rPr>
                <w:rFonts w:ascii="仿宋_GB2312" w:hAnsi="仿宋_GB2312" w:cs="仿宋_GB2312" w:eastAsia="仿宋_GB2312"/>
                <w:sz w:val="21"/>
              </w:rPr>
              <w:t>6.5</w:t>
            </w:r>
            <w:r>
              <w:rPr>
                <w:rFonts w:ascii="仿宋_GB2312" w:hAnsi="仿宋_GB2312" w:cs="仿宋_GB2312" w:eastAsia="仿宋_GB2312"/>
                <w:sz w:val="21"/>
              </w:rPr>
              <w:t>万吨。</w:t>
            </w:r>
          </w:p>
          <w:p>
            <w:pPr>
              <w:pStyle w:val="null5"/>
              <w:jc w:val="both"/>
            </w:pPr>
            <w:r>
              <w:rPr>
                <w:rFonts w:ascii="仿宋_GB2312" w:hAnsi="仿宋_GB2312" w:cs="仿宋_GB2312" w:eastAsia="仿宋_GB2312"/>
                <w:sz w:val="21"/>
              </w:rPr>
              <w:t>2.各潜在投标人应在投标文件分项报价表中分别明确各项分项报价明细，最终结算按投标单位所报综合单价乘以实际垃圾处置量据实结算。</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项目服务方案</w:t>
            </w:r>
          </w:p>
        </w:tc>
        <w:tc>
          <w:tcPr>
            <w:tcW w:type="dxa" w:w="3115"/>
          </w:tcPr>
          <w:p>
            <w:pPr>
              <w:pStyle w:val="null5"/>
              <w:jc w:val="left"/>
            </w:pPr>
            <w:r>
              <w:rPr>
                <w:rFonts w:ascii="仿宋_GB2312" w:hAnsi="仿宋_GB2312" w:cs="仿宋_GB2312" w:eastAsia="仿宋_GB2312"/>
              </w:rPr>
              <w:t>投标人提供针对本项目的实施方案，内容须包括：服务计划、收运模式、运力配属与管理、管理制度、合同管理制度、资金管理制度、项目跟踪管理方式、绩效评价响应、监督检查制度等进行评审，上述九项内容均进行了阐述且满足采购需求的得18分。每有一项内容虽阐述但未贴合 项目实际情况进行论述，或内容中未包括具体实施细节及措施，扣1 分；每有一项内容未阐述或不符合项目实际情况且未提供具体实施细节及措施，扣2分，本项最低得0分。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工艺流程</w:t>
            </w:r>
          </w:p>
        </w:tc>
        <w:tc>
          <w:tcPr>
            <w:tcW w:type="dxa" w:w="3115"/>
          </w:tcPr>
          <w:p>
            <w:pPr>
              <w:pStyle w:val="null5"/>
              <w:jc w:val="left"/>
            </w:pPr>
            <w:r>
              <w:rPr>
                <w:rFonts w:ascii="仿宋_GB2312" w:hAnsi="仿宋_GB2312" w:cs="仿宋_GB2312" w:eastAsia="仿宋_GB2312"/>
              </w:rPr>
              <w:t>根据投标人提供采取的建筑垃圾处置工艺，从①工艺水平②工艺流程③工作原理④核心设备⑤运行质量5个方面是否完善合理进行评审：上述五项内容均进行了阐述且满足采购需求的得15分；每有一项内容虽阐述但未贴合项目实际情况进行论述，或内容中未包括具体实施细节及措施，扣 2分；每有一项内容未阐述或不符合项目实际情况且未提供具体实施细节及措施，扣 3 分，本项最低得 0 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节能、环保措施</w:t>
            </w:r>
          </w:p>
        </w:tc>
        <w:tc>
          <w:tcPr>
            <w:tcW w:type="dxa" w:w="3115"/>
          </w:tcPr>
          <w:p>
            <w:pPr>
              <w:pStyle w:val="null5"/>
              <w:jc w:val="left"/>
            </w:pPr>
            <w:r>
              <w:rPr>
                <w:rFonts w:ascii="仿宋_GB2312" w:hAnsi="仿宋_GB2312" w:cs="仿宋_GB2312" w:eastAsia="仿宋_GB2312"/>
              </w:rPr>
              <w:t>投标人提供针对本项目的节能、环保措施，内容须包括：节能降耗管理方案、环境风险应急预案、环境监测方案等进行评审，上述三项内容均进行了阐述且满足采购需求的得10分。每有一项内容虽阐述但未贴合项目实际情况进行论述，或内容中未包括具体实施细节及措施，扣1 分；每有一项内容未阐述或不符合项目实际情况且未提供具体实施细节及措施，扣2分，本项最低得0分。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优化方案</w:t>
            </w:r>
          </w:p>
        </w:tc>
        <w:tc>
          <w:tcPr>
            <w:tcW w:type="dxa" w:w="3115"/>
          </w:tcPr>
          <w:p>
            <w:pPr>
              <w:pStyle w:val="null5"/>
              <w:jc w:val="left"/>
            </w:pPr>
            <w:r>
              <w:rPr>
                <w:rFonts w:ascii="仿宋_GB2312" w:hAnsi="仿宋_GB2312" w:cs="仿宋_GB2312" w:eastAsia="仿宋_GB2312"/>
              </w:rPr>
              <w:t xml:space="preserve"> 投标人提供针对本项目的优化方案，内容须包括：合理化建议、优化方案两个方面，是否结合国家产业政策和环保要求，符合实地情况，符合垃圾处置减量化、资源化、无害化的要求且符合国家相关法律法规和行业标准允许的范围内进行评审。上述两项内容均进行了阐述且满足采购需求的得8分。每有一项内容虽阐述但未贴合项目实际情况进行论述，或内容中未包括具体实施细节及措施，扣3分；每有一项内容未阐述或不符合项目实际情况且未提供具体实施细节及措施，扣4分，本项最低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重点难点分析及应急预案</w:t>
            </w:r>
          </w:p>
        </w:tc>
        <w:tc>
          <w:tcPr>
            <w:tcW w:type="dxa" w:w="3115"/>
          </w:tcPr>
          <w:p>
            <w:pPr>
              <w:pStyle w:val="null5"/>
              <w:jc w:val="left"/>
            </w:pPr>
            <w:r>
              <w:rPr>
                <w:rFonts w:ascii="仿宋_GB2312" w:hAnsi="仿宋_GB2312" w:cs="仿宋_GB2312" w:eastAsia="仿宋_GB2312"/>
              </w:rPr>
              <w:t>投标人提供针对本项目的重点难点分析及应急预案，内容须包括：重点难点分析、紧急情况应急措施及预案、突发状况分析、应急管理机构及人员等进行评审，上述四项内容均进行了阐述且满足采购需求的得10分。每有一项内容虽阐述但未贴合项目实际情况进行论述，或内容中未包括具体实施细节及措施，扣1分；每有一项内容未阐述或不符合项目实际情况且未提供具体实施细节及措施，扣2.5分，本项最低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项目组织机构配置</w:t>
            </w:r>
          </w:p>
        </w:tc>
        <w:tc>
          <w:tcPr>
            <w:tcW w:type="dxa" w:w="3115"/>
          </w:tcPr>
          <w:p>
            <w:pPr>
              <w:pStyle w:val="null5"/>
              <w:jc w:val="left"/>
            </w:pPr>
            <w:r>
              <w:rPr>
                <w:rFonts w:ascii="仿宋_GB2312" w:hAnsi="仿宋_GB2312" w:cs="仿宋_GB2312" w:eastAsia="仿宋_GB2312"/>
              </w:rPr>
              <w:t>根据投标人提供的项目组织机构，从①组织机构体系②人员配备③职责分工④管理制度⑤职工培训5个方面，组织机构合理，岗位职责明确，管理制度完善进行评审：上述五项内容均进行了阐述且满足采购需求的得10 分；每有一项内容虽阐述但未贴合项目实际情况进行论述，或内容 中未包括具体实施细节及措施，扣 1分；每有一项内容未阐述或不符合项 目实际情况且未提供具体实施细节及措施，扣 2 分，本项最低得 0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安全保证措施</w:t>
            </w:r>
          </w:p>
        </w:tc>
        <w:tc>
          <w:tcPr>
            <w:tcW w:type="dxa" w:w="3115"/>
          </w:tcPr>
          <w:p>
            <w:pPr>
              <w:pStyle w:val="null5"/>
              <w:jc w:val="left"/>
            </w:pPr>
            <w:r>
              <w:rPr>
                <w:rFonts w:ascii="仿宋_GB2312" w:hAnsi="仿宋_GB2312" w:cs="仿宋_GB2312" w:eastAsia="仿宋_GB2312"/>
              </w:rPr>
              <w:t>根据投标人提供的安全保证措施，从①安全生产方案、安全体系设置、② 安全生产责任两个方面，安全方案是否具体、完整，安全体系设置是否合 理，安全生产责任是否到人，职责是否分明、安全隐患预控是否有前瞻性 进行评审：上述两项内容均进行了阐述且满足采购需求的得 7分；每有一项内容虽阐述但未贴合项目实际情况进行论述，或内容中未包括具体实施 细节及措施，扣 2.5分；每有一项内容未阐述或不符合项目实际情况且未 提供具体实施细节及措施，扣3.5分，本项最低得 0 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2023年1月1日至今，投标人承揽过建筑垃圾处置类似业绩，每提供一项得3分，本项最高得9分。注：业绩以合同为准，投标人所附合同中至少体现出甲乙双方签章、合同签订时间、项目名称及采购内容必须清晰，否则不予评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投标供应商拟派的项目负责人具备中级及以上工程师职称得3分。注：投标文件中须附职称证书扫描件及供应商所属社保机构出具的投标截止时间前6个月内任意一个月（新入职人员要求提供入职至投标截止到日前）的社保缴费证明，未提供或提供扫描件不清晰无法辨认的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