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镇区临时停车标识标线施划项目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乌审旗城市管理综合行政执法局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内蒙古儒智泓伟工程管理有限公司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ESZCWSS-C-F-250022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内蒙古儒智泓伟工程管理有限公司</w:t>
      </w:r>
      <w:r>
        <w:rPr>
          <w:rFonts w:ascii="仿宋_GB2312" w:hAnsi="仿宋_GB2312" w:cs="仿宋_GB2312" w:eastAsia="仿宋_GB2312"/>
        </w:rPr>
        <w:t xml:space="preserve"> 受 </w:t>
      </w:r>
      <w:r>
        <w:rPr>
          <w:rFonts w:ascii="仿宋_GB2312" w:hAnsi="仿宋_GB2312" w:cs="仿宋_GB2312" w:eastAsia="仿宋_GB2312"/>
        </w:rPr>
        <w:t>乌审旗城市管理综合行政执法局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镇区临时停车标识标线施划项目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镇区临时停车标识标线施划项目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ESZCWSS-C-F-250022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BUYPLANNUM[2025]00562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消防通道</w:t>
            </w:r>
          </w:p>
        </w:tc>
        <w:tc>
          <w:tcPr>
            <w:tcW w:type="dxa" w:w="831"/>
          </w:tcPr>
          <w:p>
            <w:pPr>
              <w:pStyle w:val="null5"/>
              <w:jc w:val="right"/>
            </w:pPr>
            <w:r>
              <w:rPr>
                <w:rFonts w:ascii="仿宋_GB2312" w:hAnsi="仿宋_GB2312" w:cs="仿宋_GB2312" w:eastAsia="仿宋_GB2312"/>
              </w:rPr>
              <w:t>21,400.00</w:t>
            </w:r>
          </w:p>
        </w:tc>
        <w:tc>
          <w:tcPr>
            <w:tcW w:type="dxa" w:w="831"/>
          </w:tcPr>
          <w:p>
            <w:pPr>
              <w:pStyle w:val="null5"/>
              <w:jc w:val="right"/>
            </w:pPr>
            <w:r>
              <w:rPr>
                <w:rFonts w:ascii="仿宋_GB2312" w:hAnsi="仿宋_GB2312" w:cs="仿宋_GB2312" w:eastAsia="仿宋_GB2312"/>
              </w:rPr>
              <w:t>96,308.00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字</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机动车停车位</w:t>
            </w:r>
          </w:p>
        </w:tc>
        <w:tc>
          <w:tcPr>
            <w:tcW w:type="dxa" w:w="831"/>
          </w:tcPr>
          <w:p>
            <w:pPr>
              <w:pStyle w:val="null5"/>
              <w:jc w:val="right"/>
            </w:pPr>
            <w:r>
              <w:rPr>
                <w:rFonts w:ascii="仿宋_GB2312" w:hAnsi="仿宋_GB2312" w:cs="仿宋_GB2312" w:eastAsia="仿宋_GB2312"/>
              </w:rPr>
              <w:t>15,447.00</w:t>
            </w:r>
          </w:p>
        </w:tc>
        <w:tc>
          <w:tcPr>
            <w:tcW w:type="dxa" w:w="831"/>
          </w:tcPr>
          <w:p>
            <w:pPr>
              <w:pStyle w:val="null5"/>
              <w:jc w:val="right"/>
            </w:pPr>
            <w:r>
              <w:rPr>
                <w:rFonts w:ascii="仿宋_GB2312" w:hAnsi="仿宋_GB2312" w:cs="仿宋_GB2312" w:eastAsia="仿宋_GB2312"/>
              </w:rPr>
              <w:t>556,092.00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非机动车停车位</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right"/>
            </w:pPr>
            <w:r>
              <w:rPr>
                <w:rFonts w:ascii="仿宋_GB2312" w:hAnsi="仿宋_GB2312" w:cs="仿宋_GB2312" w:eastAsia="仿宋_GB2312"/>
              </w:rPr>
              <w:t>31,500.00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限行设施（天然气大理石）</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22,500.00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限行设施（U型钢管挡车器）</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涂磨不合理车位</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内蒙古儒智泓伟工程管理有限公司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内蒙古自治区鄂尔多斯市乌审旗嘎鲁图镇七马路第三实验小学对面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13847721805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乌审旗城市管理综合行政执法局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刘亮</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15134888882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乌审旗城市管理综合行政执法局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内蒙古儒智泓伟工程管理有限公司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镇区临时停车标识标线施划项目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甲方约定地点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1、验收合格后，按进度支付，达到付款条件起30日，支付合同总金额的100.00%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标的名称：消防通道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消防通道划线采用黄色实线、线宽</w:t>
            </w:r>
            <w:r>
              <w:rPr>
                <w:rFonts w:ascii="仿宋_GB2312" w:hAnsi="仿宋_GB2312" w:cs="仿宋_GB2312" w:eastAsia="仿宋_GB2312"/>
                <w:sz w:val="22"/>
                <w:color w:val="000000"/>
              </w:rPr>
              <w:t>15cm，涂料：采用优质道路冷喷涂料、机械喷涂、厚度均匀</w:t>
            </w:r>
          </w:p>
        </w:tc>
      </w:tr>
    </w:tbl>
    <w:p>
      <w:pPr>
        <w:pStyle w:val="null5"/>
        <w:jc w:val="left"/>
      </w:pPr>
      <w:r>
        <w:rPr>
          <w:rFonts w:ascii="仿宋_GB2312" w:hAnsi="仿宋_GB2312" w:cs="仿宋_GB2312" w:eastAsia="仿宋_GB2312"/>
        </w:rPr>
        <w:t>标的名称：字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消防通道、禁止占用，规格</w:t>
            </w:r>
            <w:r>
              <w:rPr>
                <w:rFonts w:ascii="仿宋_GB2312" w:hAnsi="仿宋_GB2312" w:cs="仿宋_GB2312" w:eastAsia="仿宋_GB2312"/>
                <w:sz w:val="22"/>
                <w:color w:val="000000"/>
              </w:rPr>
              <w:t>:每个字75cm*75cm涂料：采用优质道路冷喷涂料、机械喷涂、厚度均匀</w:t>
            </w:r>
          </w:p>
        </w:tc>
      </w:tr>
    </w:tbl>
    <w:p>
      <w:pPr>
        <w:pStyle w:val="null5"/>
        <w:jc w:val="left"/>
      </w:pPr>
      <w:r>
        <w:rPr>
          <w:rFonts w:ascii="仿宋_GB2312" w:hAnsi="仿宋_GB2312" w:cs="仿宋_GB2312" w:eastAsia="仿宋_GB2312"/>
        </w:rPr>
        <w:t>标的名称：机动车停车位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2"/>
                <w:color w:val="000000"/>
              </w:rPr>
              <w:t>车位长</w:t>
            </w:r>
            <w:r>
              <w:rPr>
                <w:rFonts w:ascii="仿宋_GB2312" w:hAnsi="仿宋_GB2312" w:cs="仿宋_GB2312" w:eastAsia="仿宋_GB2312"/>
                <w:sz w:val="22"/>
                <w:color w:val="000000"/>
              </w:rPr>
              <w:t>5m-5.5m宽2.5m-3m线宽10cm-15cm，涂料：采用优质道路冷喷涂料、机械喷涂、厚度均匀。</w:t>
            </w:r>
          </w:p>
        </w:tc>
      </w:tr>
    </w:tbl>
    <w:p>
      <w:pPr>
        <w:pStyle w:val="null5"/>
        <w:jc w:val="left"/>
      </w:pPr>
      <w:r>
        <w:rPr>
          <w:rFonts w:ascii="仿宋_GB2312" w:hAnsi="仿宋_GB2312" w:cs="仿宋_GB2312" w:eastAsia="仿宋_GB2312"/>
        </w:rPr>
        <w:t>标的名称：非机动车停车位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根据现场决定车位尺寸，标志为</w:t>
            </w:r>
            <w:r>
              <w:rPr>
                <w:rFonts w:ascii="仿宋_GB2312" w:hAnsi="仿宋_GB2312" w:cs="仿宋_GB2312" w:eastAsia="仿宋_GB2312"/>
                <w:sz w:val="22"/>
                <w:color w:val="000000"/>
              </w:rPr>
              <w:t>1.5m*0.75m（施工标准同机动车）</w:t>
            </w:r>
          </w:p>
        </w:tc>
      </w:tr>
    </w:tbl>
    <w:p>
      <w:pPr>
        <w:pStyle w:val="null5"/>
        <w:jc w:val="left"/>
      </w:pPr>
      <w:r>
        <w:rPr>
          <w:rFonts w:ascii="仿宋_GB2312" w:hAnsi="仿宋_GB2312" w:cs="仿宋_GB2312" w:eastAsia="仿宋_GB2312"/>
        </w:rPr>
        <w:t>标的名称：限行设施（天然气大理石）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大理石球：直径</w:t>
            </w:r>
            <w:r>
              <w:rPr>
                <w:rFonts w:ascii="仿宋_GB2312" w:hAnsi="仿宋_GB2312" w:cs="仿宋_GB2312" w:eastAsia="仿宋_GB2312"/>
                <w:sz w:val="22"/>
                <w:color w:val="000000"/>
              </w:rPr>
              <w:t>60cm高80cm</w:t>
            </w:r>
          </w:p>
        </w:tc>
      </w:tr>
    </w:tbl>
    <w:p>
      <w:pPr>
        <w:pStyle w:val="null5"/>
        <w:jc w:val="left"/>
      </w:pPr>
      <w:r>
        <w:rPr>
          <w:rFonts w:ascii="仿宋_GB2312" w:hAnsi="仿宋_GB2312" w:cs="仿宋_GB2312" w:eastAsia="仿宋_GB2312"/>
        </w:rPr>
        <w:t>标的名称：限行设施（U型钢管挡车器）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材质：焊接钢管，规格</w:t>
            </w:r>
            <w:r>
              <w:rPr>
                <w:rFonts w:ascii="仿宋_GB2312" w:hAnsi="仿宋_GB2312" w:cs="仿宋_GB2312" w:eastAsia="仿宋_GB2312"/>
                <w:sz w:val="22"/>
                <w:color w:val="000000"/>
              </w:rPr>
              <w:t>;长度200㎝*高度55㎝*管径7.5㎝*壁厚0.3㎝黑烤漆、黄反光膜</w:t>
            </w:r>
          </w:p>
        </w:tc>
      </w:tr>
    </w:tbl>
    <w:p>
      <w:pPr>
        <w:pStyle w:val="null5"/>
        <w:jc w:val="left"/>
      </w:pPr>
      <w:r>
        <w:rPr>
          <w:rFonts w:ascii="仿宋_GB2312" w:hAnsi="仿宋_GB2312" w:cs="仿宋_GB2312" w:eastAsia="仿宋_GB2312"/>
        </w:rPr>
        <w:t>标的名称：涂磨不合理车位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根据现场及采购人要求。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1.投标截止之日前一年内（至少一个月）的良好缴纳税收的相关凭据。（以税务机关提供的纳税凭据或银行入账单或有无欠税证明为准）；（投标文件须附扫描件） 2.投标截止之日前一年内（至少一个月）缴纳社会保险的凭证。（以社保机构出具的专用收据或社会保险缴纳清单或银行入账单为准）（投标文件须附扫描件）。 注：依法免税或不需要缴纳社会保障资金的投标人，应提供相应文件证明其依法免税或不需要缴纳社会保障资金。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根据供应商提供的项目实施方案（需包含本服务项目的实施计划、项目实施过程中的资源配置、服务保障措施、分险管控措施等内容）进行综合评审： 1、项目实施方案详细、与本项目服务内容高度匹配、实用性高、可行性、针对性强，设置合理科学的得19-14分； 2、项目实施方案详细、与本项目服务内容匹配度低、具有可行性、针对性较强，较为实用可靠，设置比较合理科学的得13-9分； 3、项目实施方案简短、内容不够全面，不足部分不影响项目实施的得8-3分； 4、项目实施方案不合理，可操作性差，不能满足项目要求的得2-1分； 5、未提供得0分。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重点和难点分析</w:t>
            </w:r>
          </w:p>
        </w:tc>
        <w:tc>
          <w:tcPr>
            <w:tcW w:type="dxa" w:w="3115"/>
          </w:tcPr>
          <w:p>
            <w:pPr>
              <w:pStyle w:val="null5"/>
              <w:jc w:val="left"/>
            </w:pPr>
            <w:r>
              <w:rPr>
                <w:rFonts w:ascii="仿宋_GB2312" w:hAnsi="仿宋_GB2312" w:cs="仿宋_GB2312" w:eastAsia="仿宋_GB2312"/>
              </w:rPr>
              <w:t>1、供应商能根据本项目特点进行重点和难点分析，分析内容符合项目情况，能提出具体的难点和重点并给出专业化的解决办法和建议，办法和建议科学性强、针对性强、可行性强的得10-8分； 2、供应商能提出本项目的重点和难点，解决办法和建议针对性较强、合理可行、符合项目要求的得7-5分； 3、供应商能提出本项目的重点和难点，但解决办法和建议针对性一般、可行性一般的得4-3分； 4、供应商对本项目的重点和难点认识不够全面、详细，可行性差的得2-1分； 5、未提供的得0分。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进度保障措施</w:t>
            </w:r>
          </w:p>
        </w:tc>
        <w:tc>
          <w:tcPr>
            <w:tcW w:type="dxa" w:w="3115"/>
          </w:tcPr>
          <w:p>
            <w:pPr>
              <w:pStyle w:val="null5"/>
              <w:jc w:val="left"/>
            </w:pPr>
            <w:r>
              <w:rPr>
                <w:rFonts w:ascii="仿宋_GB2312" w:hAnsi="仿宋_GB2312" w:cs="仿宋_GB2312" w:eastAsia="仿宋_GB2312"/>
              </w:rPr>
              <w:t>供应商针对本项目制定完整可行的实施计划、时间进度安排、项目周期保证措施等进行综合评审。 1、保障措施全面、详细、科学合理、针对性强的得19-14分； 2、保障措施完善、合理、针对性一般的得13-9分； 3、保障措施内容简短、不够全面，不足部分不影响项目实施的得8-3分； 4、保障措施不合理，可行性差的得2-1分； 5、未提供得0分。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根据供应商针对本项目提供的质量保障措施进行综合评价： 1、供应商提供的服务质量保障措施内容符合采购需求、针对性强、科学合理的得19-14分； 2、供应商提供的质量保障措施内容符合采购需求、针对性、合理性较强、可实施性较强的得13-9分； 3、供应商提供的质量保障措施内容与采购需求有偏差、针对性一般，不足部分不影响项目实施的得8-3分； 4、供应商提供的质量保障措施内容不健全，可行性差的得2-1分； 5、未提供的得0分。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1、充分考虑到项目实施过程中可能遇见的紧急情况，并提供相关应急预案，应对措施完备、可行性强、人员调配合理的得10-8分； 2、应急预案叙述较为全面，相应解决方案可行，较为实用，应对紧急情况能力较强的得7-5分； 3、应急预案内容简短、针对性一般，存在细微瑕，不足部分不影响实施的得4-3分； 4、应急预案内容简单、不够全面，可行性差的得2-1分； 5、未提供的得0分。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自2022年1月1日至投标截止之日前，（以合同签订时间为准）每有一项类似业绩得5分；最多得10分（投标文件须附中标通知书或合同扫描件）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