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乌审旗嘎鲁图镇建筑垃圾综合利用政府购买服务项目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乌审旗住房和城乡建设局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内蒙古云诺项目管理有限公司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ESZCWSS-G-F-250024</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内蒙古云诺项目管理有限公司</w:t>
      </w:r>
      <w:r>
        <w:rPr>
          <w:rFonts w:ascii="仿宋_GB2312" w:hAnsi="仿宋_GB2312" w:cs="仿宋_GB2312" w:eastAsia="仿宋_GB2312"/>
        </w:rPr>
        <w:t xml:space="preserve"> 受 </w:t>
      </w:r>
      <w:r>
        <w:rPr>
          <w:rFonts w:ascii="仿宋_GB2312" w:hAnsi="仿宋_GB2312" w:cs="仿宋_GB2312" w:eastAsia="仿宋_GB2312"/>
        </w:rPr>
        <w:t>乌审旗住房和城乡建设局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乌审旗嘎鲁图镇建筑垃圾综合利用政府购买服务项目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乌审旗嘎鲁图镇建筑垃圾综合利用政府购买服务项目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ESZCWSS-G-F-250024</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BUYPLANNUM[2025]00599</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10,579,300.00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乌审旗嘎鲁图镇建筑垃圾综合利用政府购买服务项目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10,579,300.00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内蒙古云诺项目管理有限公司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鄂尔多斯市伊金霍洛旗水岸金钻东塔20楼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017200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刘军</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17604871807</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乌审旗住房和城乡建设局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鄂尔多斯市乌审旗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017300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郑先生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04777220350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代理服务费收费标准：参照内蒙古自治区工程建设协会《关于印发内蒙古自治区工程建设招标代理服务收费指导意见(试行）的通知》（内工建协﹝2022﹞34号）文件的规定收费计取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乌审旗住房和城乡建设局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内蒙古云诺项目管理有限公司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具有良好的商业信誉和健全的财务会计制度，具备2022年度或2023年度财务审计报告或其基本开户银行近一年内出具的资信证明（响应文件须附复印件）</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1.提供递交响应文件截止之日前一年内（至少一个月）的良好缴纳税收的相关凭据。（以税务机关提供的纳税凭据或银行入账单为准） 2.提供递交响应文件截止之日前一年内（至少一个月）缴纳社会保险的凭证。（以专用收据或社会保险缴纳清单为准） 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审查投标人提供的具有履行合同所必需的设备和专业技术能力的证明材料或声明。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到提交响应文件的截止时间，供应商未被列入失信被执行人、重大税收违法案件当事人名单、政府采购严重违法失信行为记录名单。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本项目不接受联合体投标</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嘎鲁图镇现有嘎鲁图镇现有建筑垃圾处置利用暂存消纳场1处，利用废旧砖厂取土场作为消纳场所，占地70亩，容纳建筑垃圾50万立方米。嘎鲁图镇的建筑垃圾主要来源于镇区的工程渣土、工程垃圾、拆除垃圾、装修垃圾，每天产生建筑垃圾约为330吨。其中：工程渣土主要是工程开挖过程中的弃土，约占建筑垃圾总量的 10%；工程垃圾主要由砖瓦、砂石、砂浆、砌块、瓷砖边角料、大理石边角料等弃料组成，约占建筑垃圾总量的18%；拆除垃圾主要由木材（木板、木条、木方、木片、木质板材、竹材等弃料）、塑料（塑料包装、泡沫、防尘网、安全网、机电管材等弃料）、混凝土、沥青、砖瓦、砂浆、水泥、砌块、瓷砖、陶瓷、大理石等弃料组成，约占建筑垃圾总量的50%；装修垃圾主要由木材（木板、木条、木方、木片、木屑、木质板材、木质包装、竹材等废弃物）、塑料（物料包装物、泡沫等废弃物）、混凝土、砖瓦、陶瓷、砂石、砂浆、腻子、砌块、水泥、瓷砖及边角料、大理石及边角料、石膏板等废弃物组成，约占建筑垃圾总量的22%。 国家大力倡导循环经济发展，出台了众多鼓励建筑垃圾资源化利 用的政策法规，旨在提高资源利用效率，减少资源浪费，推动绿色发 展。内蒙古自治区关于《内蒙古自治区推进建筑垃圾资源化利用试点 工作方案》中，明确要加快推进建筑垃圾资源化利用，有效提高建筑 垃圾资源化利用效率，建立健全建筑垃圾资源化利用长效机制，通过 试点示范形成可复制可推广的经验做法，确保实现2025年建筑垃圾 综合利用率达到60%的目标。 建筑垃圾处置是环保督察工作重点之一，也是实现无废城市的重要举措。为此，乌审旗制定了《乌审旗 “十四五” 时期 “无废城市” 建设实施方案》，将建筑垃圾处理纳入其中，旨在实现固体废物源头减量，大宗工业固体废物综合利用率稳步提升等目标。乌审旗住房和城乡建设局全面推进 “无废城市” 建设，在多个工程中实施 “无废工地” 管理模式，旨在进一步提升建筑工地建筑垃圾处理能力以及工地环境质量，推动建筑垃圾源头减量和资源化利用，这与建筑垃圾资源化利用项目的目标高度契合，为项目的实施提供了有力的地方政策支持。 《乌审旗人民政府2024年第12次常务会议纪要》（会议纪要[2024]28号）明确了“原则同意乌审旗建筑垃圾资源化综合利用处置场建设项目相关事宜”。</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1、根据实际服务进度，据实结算，达到付款条件起10日，支付合同总金额的100.00%</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1、期次1，说明：符合国家相关行业验收规范要求及招标文件技术服务要求</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服务时间：服务期限为三年，合同一年一签</w:t>
              <w:br/>
              <w:t>服务地点：采购人约定地点</w:t>
              <w:br/>
              <w:t>其它：本项目采购预算为服务一年的费用</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标的名称：乌审旗嘎鲁图镇建筑垃圾综合利用政府购买服务项目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1）本项目建筑垃圾无害化处置按</w:t>
            </w:r>
            <w:r>
              <w:rPr>
                <w:rFonts w:ascii="仿宋_GB2312" w:hAnsi="仿宋_GB2312" w:cs="仿宋_GB2312" w:eastAsia="仿宋_GB2312"/>
                <w:sz w:val="21"/>
                <w:color w:val="000000"/>
              </w:rPr>
              <w:t>13</w:t>
            </w:r>
            <w:r>
              <w:rPr>
                <w:rFonts w:ascii="仿宋_GB2312" w:hAnsi="仿宋_GB2312" w:cs="仿宋_GB2312" w:eastAsia="仿宋_GB2312"/>
                <w:sz w:val="21"/>
                <w:color w:val="000000"/>
              </w:rPr>
              <w:t>万吨计算，对乌审旗嘎鲁图镇产生的建筑垃圾（不含煤化工、油气田等企业产生的建筑垃圾）综合处理，提供分拣、破碎及无害化处置等服务，综合利用率达到</w:t>
            </w:r>
            <w:r>
              <w:rPr>
                <w:rFonts w:ascii="仿宋_GB2312" w:hAnsi="仿宋_GB2312" w:cs="仿宋_GB2312" w:eastAsia="仿宋_GB2312"/>
                <w:sz w:val="21"/>
                <w:color w:val="000000"/>
              </w:rPr>
              <w:t xml:space="preserve">60%，无害化率达到 </w:t>
            </w:r>
            <w:r>
              <w:rPr>
                <w:rFonts w:ascii="仿宋_GB2312" w:hAnsi="仿宋_GB2312" w:cs="仿宋_GB2312" w:eastAsia="仿宋_GB2312"/>
                <w:sz w:val="21"/>
                <w:color w:val="000000"/>
              </w:rPr>
              <w:t>100%</w:t>
            </w:r>
            <w:r>
              <w:rPr>
                <w:rFonts w:ascii="仿宋_GB2312" w:hAnsi="仿宋_GB2312" w:cs="仿宋_GB2312" w:eastAsia="仿宋_GB2312"/>
                <w:sz w:val="21"/>
                <w:color w:val="000000"/>
              </w:rPr>
              <w:t>。在实际运营中，若年度处理量超出</w:t>
            </w:r>
            <w:r>
              <w:rPr>
                <w:rFonts w:ascii="仿宋_GB2312" w:hAnsi="仿宋_GB2312" w:cs="仿宋_GB2312" w:eastAsia="仿宋_GB2312"/>
                <w:sz w:val="21"/>
                <w:color w:val="000000"/>
              </w:rPr>
              <w:t>13 万吨，我们仍将维持既定的年度服务费用标准，确保服务的稳定性与性价比。</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承接主体应具有建筑垃圾分类处理的方案和对废混凝土、金属、木材等回收利用的方案。建筑垃圾处置内容、经营主体、法定代表人、经营地址发生变化的，应及时向原核准机关提出变更申请。</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按规定分类收纳、堆放、处置建筑垃圾，不得接收未经核准或者与核准不相符的建筑垃圾，不得擅自接收工业固体废物、生活垃圾、危险废物等固体废物；保持车辆冲洗、计量称重、视频监控等设施设备正常使用，落实安全生产相关要求；建立建筑垃圾管理台账，如实记录建筑垃圾来源、种类、数量、产品去向等信息，及时上报至当地环境卫生主管部门。</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4）规范处理建筑垃圾，配置环境监测、噪声监测、水质污染监测等措施；具备有效的防尘措施，例如安装管网、及时洒水、及时清运处理等措施，避免大气污染，对主要环保数据进行实时公示。</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5）明确组织机构配置，配备具有相应资格及能力的人员，明确负责人、管理人员、调度人员、保洁人员等的权责义务，具有完善的培训制度，操作人员 </w:t>
            </w:r>
            <w:r>
              <w:rPr>
                <w:rFonts w:ascii="仿宋_GB2312" w:hAnsi="仿宋_GB2312" w:cs="仿宋_GB2312" w:eastAsia="仿宋_GB2312"/>
                <w:sz w:val="21"/>
                <w:color w:val="000000"/>
              </w:rPr>
              <w:t>100%</w:t>
            </w:r>
            <w:r>
              <w:rPr>
                <w:rFonts w:ascii="仿宋_GB2312" w:hAnsi="仿宋_GB2312" w:cs="仿宋_GB2312" w:eastAsia="仿宋_GB2312"/>
                <w:sz w:val="21"/>
                <w:color w:val="000000"/>
              </w:rPr>
              <w:t>持证上岗，制定可执行可考量的人员绩</w:t>
            </w:r>
            <w:r>
              <w:rPr>
                <w:rFonts w:ascii="仿宋_GB2312" w:hAnsi="仿宋_GB2312" w:cs="仿宋_GB2312" w:eastAsia="仿宋_GB2312"/>
                <w:sz w:val="21"/>
                <w:color w:val="000000"/>
              </w:rPr>
              <w:t>效考核制度。</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建立完善的厂区运营安全管理制度，制订运行管理预案及乌审旗嘎鲁图镇建筑垃圾综合利用政府购买服务项目实施方案计量、运行、设备故障、突发事件、恶劣天气等专项预案，安全设施、应急物资配置齐全；厂区安全标识规范明确，消防设备配置完备、齐全；定期对员工进行安全生产教育，落实责任制，落实有关安全措施。</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7）中标单位需全面负责与建筑垃圾相关的所有后续事宜，涵盖施工产生的可再利用和不可再利用建筑垃圾，在完成建筑垃圾处理后，承担其拉运至约定填埋场地并妥善填埋的工作，以及与之相关的全部费用。</w:t>
            </w:r>
          </w:p>
          <w:p>
            <w:pPr>
              <w:pStyle w:val="null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8）在服务期限内，年度绩效评价得分为 80 分（含）以上的，购买主体与承接主体续签下一年合同；年度绩效评价得分为 60（含）分到80 分（不含）的，购买主体要求承接主体完善政策、改进管理，整改后符合条件的与承接主体续签下一年合同；承接主体在服务期内，未满足国家及地区相关规范要求的，或年度绩效评价得分在 60 分（不含）以下的，购买主体有权单方面终止服务合同，并重新招标。</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处置服务方案</w:t>
            </w:r>
          </w:p>
        </w:tc>
        <w:tc>
          <w:tcPr>
            <w:tcW w:type="dxa" w:w="3115"/>
          </w:tcPr>
          <w:p>
            <w:pPr>
              <w:pStyle w:val="null5"/>
              <w:jc w:val="left"/>
            </w:pPr>
            <w:r>
              <w:rPr>
                <w:rFonts w:ascii="仿宋_GB2312" w:hAnsi="仿宋_GB2312" w:cs="仿宋_GB2312" w:eastAsia="仿宋_GB2312"/>
              </w:rPr>
              <w:t>投标人提供针对本项目的处置工作实施方案，内容须包括前期启动方案、人员配置方案、组织实施方案、场地规划布置方案、设备配置方案、施工组织计划方案、项目管理职责划分方案、人员培训方案等情况进行评审：上述内容均进行了阐述且满足采购需求的得11-16分。内容虽阐述但未贴合项目实际情况进行论述，或内容中未包括具体实施细节及措施得6-10.9分；内容未阐述或不符合项目实际情况且未提供具体实施细节及措施的得0-5.9分。</w:t>
            </w:r>
          </w:p>
        </w:tc>
        <w:tc>
          <w:tcPr>
            <w:tcW w:type="dxa" w:w="1038"/>
          </w:tcPr>
          <w:p>
            <w:pPr>
              <w:pStyle w:val="null5"/>
              <w:jc w:val="right"/>
            </w:pPr>
            <w:r>
              <w:rPr>
                <w:rFonts w:ascii="仿宋_GB2312" w:hAnsi="仿宋_GB2312" w:cs="仿宋_GB2312" w:eastAsia="仿宋_GB2312"/>
              </w:rPr>
              <w:t>16.00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项目服务方案</w:t>
            </w:r>
          </w:p>
        </w:tc>
        <w:tc>
          <w:tcPr>
            <w:tcW w:type="dxa" w:w="3115"/>
          </w:tcPr>
          <w:p>
            <w:pPr>
              <w:pStyle w:val="null5"/>
              <w:jc w:val="left"/>
            </w:pPr>
            <w:r>
              <w:rPr>
                <w:rFonts w:ascii="仿宋_GB2312" w:hAnsi="仿宋_GB2312" w:cs="仿宋_GB2312" w:eastAsia="仿宋_GB2312"/>
              </w:rPr>
              <w:t>投标人提供针对本项目的实施方案，内容须包括：服务计划、收运模式、运力配属与管理、管理制度、合同管理制度、资金管理制度、项目跟踪管理方式、绩效评价响应 、监督检查制度等进行评审，上述内容均进行了阐述且满足采购需求的得13-18分。 内容虽阐述但未贴合项目实际情况进行论述或内容中未包括具体实施细节及措施的得7-12.9 分；内容未阐述或不符合项目实际情况且未提供具体实施细节及措施的得0-6.9分。</w:t>
            </w:r>
          </w:p>
        </w:tc>
        <w:tc>
          <w:tcPr>
            <w:tcW w:type="dxa" w:w="1038"/>
          </w:tcPr>
          <w:p>
            <w:pPr>
              <w:pStyle w:val="null5"/>
              <w:jc w:val="right"/>
            </w:pPr>
            <w:r>
              <w:rPr>
                <w:rFonts w:ascii="仿宋_GB2312" w:hAnsi="仿宋_GB2312" w:cs="仿宋_GB2312" w:eastAsia="仿宋_GB2312"/>
              </w:rPr>
              <w:t>18.00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节能、环保措施</w:t>
            </w:r>
          </w:p>
        </w:tc>
        <w:tc>
          <w:tcPr>
            <w:tcW w:type="dxa" w:w="3115"/>
          </w:tcPr>
          <w:p>
            <w:pPr>
              <w:pStyle w:val="null5"/>
              <w:jc w:val="left"/>
            </w:pPr>
            <w:r>
              <w:rPr>
                <w:rFonts w:ascii="仿宋_GB2312" w:hAnsi="仿宋_GB2312" w:cs="仿宋_GB2312" w:eastAsia="仿宋_GB2312"/>
              </w:rPr>
              <w:t>投标人提供针对本项目的节能、环保措施，内容须包括：节能降耗管理方案、环境风险应急预案、环境监测方案等进行评审，上述内容均进行了阐述且满足采购需求的得7-9分。内容虽阐述但未贴合项目实际情况进行论述或内容中未包括具体实施细节及措施的得4-6.9分；内容未阐述或不符合项目实际情况且未提供具体实施细节及措施的得0-3.9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优化方案</w:t>
            </w:r>
          </w:p>
        </w:tc>
        <w:tc>
          <w:tcPr>
            <w:tcW w:type="dxa" w:w="3115"/>
          </w:tcPr>
          <w:p>
            <w:pPr>
              <w:pStyle w:val="null5"/>
              <w:jc w:val="left"/>
            </w:pPr>
            <w:r>
              <w:rPr>
                <w:rFonts w:ascii="仿宋_GB2312" w:hAnsi="仿宋_GB2312" w:cs="仿宋_GB2312" w:eastAsia="仿宋_GB2312"/>
              </w:rPr>
              <w:t>投标人提供针对本项目的优化方案，内容须包括：合理化建议、优化方案两个方面， 是否结合国家产业政策和环保要求，符合实地情况，符合垃圾处置减量化、资源化、 无害化的要求且符合国家相关法律法规和行业标准允许的范围内进行评审。上述内容均进行了阐述且满足采购需求的得5-7分。内容虽阐述但未贴合项目实际情况进行论述或内容中未包括具体实施细节及措施的得3-4.9分；内容未阐述或不符合项目实际情况且未提供具体实施细节及措施的得0-2.9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重点难点分析及应急预案</w:t>
            </w:r>
          </w:p>
        </w:tc>
        <w:tc>
          <w:tcPr>
            <w:tcW w:type="dxa" w:w="3115"/>
          </w:tcPr>
          <w:p>
            <w:pPr>
              <w:pStyle w:val="null5"/>
              <w:jc w:val="left"/>
            </w:pPr>
            <w:r>
              <w:rPr>
                <w:rFonts w:ascii="仿宋_GB2312" w:hAnsi="仿宋_GB2312" w:cs="仿宋_GB2312" w:eastAsia="仿宋_GB2312"/>
              </w:rPr>
              <w:t>投标人提供针对本项目的重点难点分析及应急预案，内容须包括：重点难点分析、紧急情况应急措施及预案、突发状况分析、应急管理机构及人员等进行评审，上述内容均进行了阐述且满足采购需求的得7-10分。内容虽阐述但未贴合项目实际情况进行论述或内容中未包括具体实施细节及措施的得4-6.9分；内容未阐述或不符合项目实际情况且未提供具体实施细节及措施的得0-3.9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综合协调方案</w:t>
            </w:r>
          </w:p>
        </w:tc>
        <w:tc>
          <w:tcPr>
            <w:tcW w:type="dxa" w:w="3115"/>
          </w:tcPr>
          <w:p>
            <w:pPr>
              <w:pStyle w:val="null5"/>
              <w:jc w:val="left"/>
            </w:pPr>
            <w:r>
              <w:rPr>
                <w:rFonts w:ascii="仿宋_GB2312" w:hAnsi="仿宋_GB2312" w:cs="仿宋_GB2312" w:eastAsia="仿宋_GB2312"/>
              </w:rPr>
              <w:t>投标人提供针对本项目的综合协调方案，内容须包括组织协调的程序、组织协调的目标及任务、重点协调内容、组织协调的方法等进行评审，上述内容均进行了阐述且满足采购需求的得7-10分内容虽阐述但未贴合项目实际情况进行论述或内容中未包括具体实施细节及措施的得4-6.9分；内容未阐述或不符合项目实际情况且未提供具体实施细节及措施的得0-3.9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投标人业绩</w:t>
            </w:r>
          </w:p>
        </w:tc>
        <w:tc>
          <w:tcPr>
            <w:tcW w:type="dxa" w:w="3115"/>
          </w:tcPr>
          <w:p>
            <w:pPr>
              <w:pStyle w:val="null5"/>
              <w:jc w:val="left"/>
            </w:pPr>
            <w:r>
              <w:rPr>
                <w:rFonts w:ascii="仿宋_GB2312" w:hAnsi="仿宋_GB2312" w:cs="仿宋_GB2312" w:eastAsia="仿宋_GB2312"/>
              </w:rPr>
              <w:t>2021年至今（以合同签订时间为准）承揽过类似项目业绩，每有一项得6分， 最高得12分。（投标文件中附合同扫描件） 注：类似业绩是指建筑垃圾综合利用相关业绩。</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服务机械设备</w:t>
            </w:r>
          </w:p>
        </w:tc>
        <w:tc>
          <w:tcPr>
            <w:tcW w:type="dxa" w:w="3115"/>
          </w:tcPr>
          <w:p>
            <w:pPr>
              <w:pStyle w:val="null5"/>
              <w:jc w:val="left"/>
            </w:pPr>
            <w:r>
              <w:rPr>
                <w:rFonts w:ascii="仿宋_GB2312" w:hAnsi="仿宋_GB2312" w:cs="仿宋_GB2312" w:eastAsia="仿宋_GB2312"/>
              </w:rPr>
              <w:t>每配备1台挖掘机得2分 每配备1台装载机得2分 每配备1台高压清洗车得2分 每配备1套建筑垃圾分拣破碎生产线机械设备得2分。 注：自有机械提供购买发票，租赁机械提供租赁合同及出租方购买发票，本项最多得8分。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