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B27739">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bCs/>
          <w:sz w:val="28"/>
          <w:szCs w:val="28"/>
        </w:rPr>
      </w:pPr>
      <w:r>
        <w:rPr>
          <w:rFonts w:hint="eastAsia"/>
          <w:b/>
          <w:bCs/>
          <w:sz w:val="28"/>
          <w:szCs w:val="28"/>
        </w:rPr>
        <w:t>编制说明</w:t>
      </w:r>
    </w:p>
    <w:p w14:paraId="69AC9303">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 xml:space="preserve">工程名称：乌审旗第六幼儿园消防及校舍维修改造项目 </w:t>
      </w:r>
    </w:p>
    <w:p w14:paraId="490109F2">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 xml:space="preserve">一、工程概况 </w:t>
      </w:r>
    </w:p>
    <w:p w14:paraId="20492A4D">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乌审旗第六幼儿园消防及校舍维修改造项目</w:t>
      </w:r>
      <w:r>
        <w:rPr>
          <w:rFonts w:hint="eastAsia"/>
          <w:b w:val="0"/>
          <w:bCs w:val="0"/>
          <w:sz w:val="24"/>
          <w:szCs w:val="24"/>
          <w:lang w:eastAsia="zh-CN"/>
        </w:rPr>
        <w:t>，</w:t>
      </w:r>
      <w:r>
        <w:rPr>
          <w:rFonts w:hint="eastAsia"/>
          <w:b w:val="0"/>
          <w:bCs w:val="0"/>
          <w:sz w:val="24"/>
          <w:szCs w:val="24"/>
        </w:rPr>
        <w:t>包括图纸范围内的拆除工程、室内装修工程改造工程、喷淋工程、消火栓工程、火自报工程、应急照明工程、给排水工程、防排烟工程</w:t>
      </w:r>
      <w:r>
        <w:rPr>
          <w:rFonts w:hint="eastAsia"/>
          <w:b w:val="0"/>
          <w:bCs w:val="0"/>
          <w:sz w:val="24"/>
          <w:szCs w:val="24"/>
          <w:lang w:eastAsia="zh-CN"/>
        </w:rPr>
        <w:t>，</w:t>
      </w:r>
      <w:r>
        <w:rPr>
          <w:rFonts w:hint="eastAsia"/>
          <w:b w:val="0"/>
          <w:bCs w:val="0"/>
          <w:sz w:val="24"/>
          <w:szCs w:val="24"/>
          <w:lang w:val="en-US" w:eastAsia="zh-CN"/>
        </w:rPr>
        <w:t>室外消防管网、消防水箱、消防通道</w:t>
      </w:r>
      <w:r>
        <w:rPr>
          <w:rFonts w:hint="eastAsia"/>
          <w:b w:val="0"/>
          <w:bCs w:val="0"/>
          <w:sz w:val="24"/>
          <w:szCs w:val="24"/>
        </w:rPr>
        <w:t xml:space="preserve">。 </w:t>
      </w:r>
    </w:p>
    <w:p w14:paraId="286503A1">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 xml:space="preserve">二、编制依据： </w:t>
      </w:r>
    </w:p>
    <w:p w14:paraId="077C8F53">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 xml:space="preserve">（一）乌审旗政府投资项目代建中心提供的正道设计有限公司2025年4月出具的设计图纸(工程编号SJ-2025054(W))及设计说明。 </w:t>
      </w:r>
    </w:p>
    <w:p w14:paraId="7694B48A">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 xml:space="preserve">（二）与本工程有关的标准（包括标准图集）、规范、技术资料、推荐品牌说明、图纸答疑及询证单。 </w:t>
      </w:r>
    </w:p>
    <w:p w14:paraId="46C9726C">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（三）清单执行《建设工程工程量清单计价规范(GB50500-2013)》及解释和勘误。定额执行2017届《内蒙古自治区房屋建筑与装饰工程预算定额》</w:t>
      </w:r>
      <w:r>
        <w:rPr>
          <w:rFonts w:hint="eastAsia"/>
          <w:b w:val="0"/>
          <w:bCs w:val="0"/>
          <w:sz w:val="24"/>
          <w:szCs w:val="24"/>
          <w:lang w:eastAsia="zh-CN"/>
        </w:rPr>
        <w:t>，</w:t>
      </w:r>
      <w:r>
        <w:rPr>
          <w:rFonts w:hint="eastAsia"/>
          <w:b w:val="0"/>
          <w:bCs w:val="0"/>
          <w:sz w:val="24"/>
          <w:szCs w:val="24"/>
        </w:rPr>
        <w:t>《内蒙古自治区通用安装工程预算定额》</w:t>
      </w:r>
      <w:r>
        <w:rPr>
          <w:rFonts w:hint="eastAsia"/>
          <w:b w:val="0"/>
          <w:bCs w:val="0"/>
          <w:sz w:val="24"/>
          <w:szCs w:val="24"/>
          <w:lang w:eastAsia="zh-CN"/>
        </w:rPr>
        <w:t>，</w:t>
      </w:r>
      <w:r>
        <w:rPr>
          <w:rFonts w:hint="eastAsia"/>
          <w:b w:val="0"/>
          <w:bCs w:val="0"/>
          <w:sz w:val="24"/>
          <w:szCs w:val="24"/>
        </w:rPr>
        <w:t xml:space="preserve">2021届《内蒙古自治区房屋修缮工预算定额》《内蒙古自治区建设工程费用定额》及现行相关政策性文件等。 </w:t>
      </w:r>
    </w:p>
    <w:p w14:paraId="2FA574A0">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 xml:space="preserve">（四）规费执行《内蒙古自治区住房和城乡建设厅文件关于调整内蒙古自治区建设工程计价依据规费中养老保险费率的通知》内建标〔2019〕468号文件，将规费中的养老保险费率由12.5%调整为10.5%，规费费率为19%。 </w:t>
      </w:r>
    </w:p>
    <w:p w14:paraId="2A0BA433">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 xml:space="preserve">（五）税金执行《关于调整内蒙古自治区建设工程计价依据增值税税率的通知》内建标〔2019〕113号文件，税率为9%。 </w:t>
      </w:r>
    </w:p>
    <w:p w14:paraId="09AD8C46">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 xml:space="preserve">（六）人工费调增执行《内蒙古自治区住房和城乡建设厅关于调整内蒙古自治区建设工程现行预算定额人工费的通知》内建标〔2021〕148号文件，定额人工费调增10%。 </w:t>
      </w:r>
    </w:p>
    <w:p w14:paraId="710D1773">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lang w:val="en-US" w:eastAsia="zh-CN"/>
        </w:rPr>
        <w:t>三</w:t>
      </w:r>
      <w:r>
        <w:rPr>
          <w:rFonts w:hint="eastAsia"/>
          <w:b w:val="0"/>
          <w:bCs w:val="0"/>
          <w:sz w:val="24"/>
          <w:szCs w:val="24"/>
        </w:rPr>
        <w:t xml:space="preserve">、清单说明 </w:t>
      </w:r>
    </w:p>
    <w:p w14:paraId="41A3D850">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 xml:space="preserve">1.投标人必须按招标工程量清单填报价格。项目编码、项目名称、项目特征、计量单位、工程量必须与招标工程量清单一致，如有不一致按否决其投标处理。 </w:t>
      </w:r>
    </w:p>
    <w:p w14:paraId="2D09820F">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 xml:space="preserve">2.规费及税金应按 “ 规费、税金项目清单与计价表” 所列项目并根据国家、省级或行业建设主管部门的有关规定列算和计算，不得作为竞争性费用。 </w:t>
      </w:r>
    </w:p>
    <w:p w14:paraId="7A0C8E8C">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 xml:space="preserve">3.安全文明费应按 “ 总价措施项目清单与计价表” 所列项目并根据国家、省级或行业建设主管部门的有关规定列算和计算，不得作为竞争性费用。 </w:t>
      </w:r>
    </w:p>
    <w:p w14:paraId="72CC2842">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 xml:space="preserve">4.本说明未尽事项，以“ 计价规范” 、“ 计价管理办法” 、“ 工程量计算规范”“ 招标文件” 以及有关的法律、法规、建设行政主管部门颁发的文件为准。 </w:t>
      </w:r>
    </w:p>
    <w:p w14:paraId="03DA9CB5">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lang w:val="en-US" w:eastAsia="zh-CN"/>
        </w:rPr>
        <w:t>四</w:t>
      </w:r>
      <w:r>
        <w:rPr>
          <w:rFonts w:hint="eastAsia"/>
          <w:b w:val="0"/>
          <w:bCs w:val="0"/>
          <w:sz w:val="24"/>
          <w:szCs w:val="24"/>
        </w:rPr>
        <w:t>、其他说明</w:t>
      </w:r>
    </w:p>
    <w:p w14:paraId="5C5DBFAB">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lang w:eastAsia="zh-CN"/>
        </w:rPr>
      </w:pPr>
      <w:r>
        <w:rPr>
          <w:rFonts w:hint="eastAsia"/>
          <w:b w:val="0"/>
          <w:bCs w:val="0"/>
          <w:sz w:val="24"/>
          <w:szCs w:val="24"/>
        </w:rPr>
        <w:t>1.暂列金：436000元（含税金）</w:t>
      </w:r>
      <w:r>
        <w:rPr>
          <w:rFonts w:hint="eastAsia"/>
          <w:b w:val="0"/>
          <w:bCs w:val="0"/>
          <w:sz w:val="24"/>
          <w:szCs w:val="24"/>
          <w:lang w:eastAsia="zh-CN"/>
        </w:rPr>
        <w:t>。</w:t>
      </w:r>
    </w:p>
    <w:p w14:paraId="4DD6DFF9">
      <w:pPr>
        <w:keepNext w:val="0"/>
        <w:keepLines w:val="0"/>
        <w:pageBreakBefore w:val="0"/>
        <w:widowControl w:val="0"/>
        <w:kinsoku/>
        <w:wordWrap/>
        <w:overflowPunct/>
        <w:topLinePunct w:val="0"/>
        <w:autoSpaceDE/>
        <w:autoSpaceDN/>
        <w:bidi w:val="0"/>
        <w:adjustRightInd/>
        <w:snapToGrid/>
        <w:spacing w:line="408" w:lineRule="auto"/>
        <w:textAlignment w:val="auto"/>
        <w:rPr>
          <w:rFonts w:hint="default"/>
          <w:b w:val="0"/>
          <w:bCs w:val="0"/>
          <w:sz w:val="24"/>
          <w:szCs w:val="24"/>
          <w:lang w:val="en-US" w:eastAsia="zh-CN"/>
        </w:rPr>
      </w:pPr>
      <w:r>
        <w:rPr>
          <w:rFonts w:hint="eastAsia"/>
          <w:b w:val="0"/>
          <w:bCs w:val="0"/>
          <w:sz w:val="24"/>
          <w:szCs w:val="24"/>
          <w:lang w:val="en-US" w:eastAsia="zh-CN"/>
        </w:rPr>
        <w:t>2.材料检测费据实结算。</w:t>
      </w:r>
    </w:p>
    <w:p w14:paraId="1140DD97">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lang w:val="en-US" w:eastAsia="zh-CN"/>
        </w:rPr>
        <w:t>2.</w:t>
      </w:r>
      <w:r>
        <w:rPr>
          <w:rFonts w:hint="eastAsia"/>
          <w:b w:val="0"/>
          <w:bCs w:val="0"/>
          <w:sz w:val="24"/>
          <w:szCs w:val="24"/>
        </w:rPr>
        <w:t>为保证项目效果符合招标人的要求，保证招标采购工作公平公正进行将控制价编制时所参照的材料档次进行公示，投标人报价时需考虑同档次价格的材料。投标主要材料设备档次推荐表见后附“主要材料、设备档次推荐表”投标单位需要填写投标产品品牌，如未填写，视为同意甲方在推荐档次中任选品牌。</w:t>
      </w:r>
    </w:p>
    <w:p w14:paraId="5D19C670">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bCs/>
          <w:sz w:val="28"/>
          <w:szCs w:val="28"/>
        </w:rPr>
      </w:pPr>
      <w:r>
        <w:rPr>
          <w:rFonts w:hint="eastAsia"/>
          <w:b/>
          <w:bCs/>
          <w:sz w:val="28"/>
          <w:szCs w:val="28"/>
        </w:rPr>
        <w:t>附表1“主要材料、设备档次推荐表”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1740"/>
        <w:gridCol w:w="4395"/>
        <w:gridCol w:w="1202"/>
      </w:tblGrid>
      <w:tr w14:paraId="34AA2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721" w:type="dxa"/>
            <w:vAlign w:val="center"/>
          </w:tcPr>
          <w:p w14:paraId="43040FA1">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r>
              <w:rPr>
                <w:rFonts w:hint="eastAsia"/>
                <w:b w:val="0"/>
                <w:bCs w:val="0"/>
                <w:sz w:val="24"/>
                <w:szCs w:val="24"/>
              </w:rPr>
              <w:t>序号</w:t>
            </w:r>
          </w:p>
        </w:tc>
        <w:tc>
          <w:tcPr>
            <w:tcW w:w="1740" w:type="dxa"/>
            <w:vAlign w:val="center"/>
          </w:tcPr>
          <w:p w14:paraId="630107C5">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r>
              <w:rPr>
                <w:rFonts w:hint="eastAsia"/>
                <w:b w:val="0"/>
                <w:bCs w:val="0"/>
                <w:sz w:val="24"/>
                <w:szCs w:val="24"/>
              </w:rPr>
              <w:t>材料设备名称</w:t>
            </w:r>
          </w:p>
        </w:tc>
        <w:tc>
          <w:tcPr>
            <w:tcW w:w="4395" w:type="dxa"/>
            <w:vAlign w:val="center"/>
          </w:tcPr>
          <w:p w14:paraId="04114E1E">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r>
              <w:rPr>
                <w:rFonts w:hint="eastAsia"/>
                <w:b w:val="0"/>
                <w:bCs w:val="0"/>
                <w:sz w:val="24"/>
                <w:szCs w:val="24"/>
              </w:rPr>
              <w:t>推荐档次</w:t>
            </w:r>
          </w:p>
        </w:tc>
        <w:tc>
          <w:tcPr>
            <w:tcW w:w="1202" w:type="dxa"/>
            <w:vAlign w:val="center"/>
          </w:tcPr>
          <w:p w14:paraId="77A5AD7B">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default" w:eastAsiaTheme="minorEastAsia"/>
                <w:b w:val="0"/>
                <w:bCs w:val="0"/>
                <w:sz w:val="24"/>
                <w:szCs w:val="24"/>
                <w:vertAlign w:val="baseline"/>
                <w:lang w:val="en-US" w:eastAsia="zh-CN"/>
              </w:rPr>
            </w:pPr>
            <w:r>
              <w:rPr>
                <w:rFonts w:hint="eastAsia"/>
                <w:b w:val="0"/>
                <w:bCs w:val="0"/>
                <w:sz w:val="24"/>
                <w:szCs w:val="24"/>
                <w:vertAlign w:val="baseline"/>
                <w:lang w:val="en-US" w:eastAsia="zh-CN"/>
              </w:rPr>
              <w:t>投标产品</w:t>
            </w:r>
          </w:p>
        </w:tc>
      </w:tr>
      <w:tr w14:paraId="1C644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721" w:type="dxa"/>
            <w:vAlign w:val="center"/>
          </w:tcPr>
          <w:p w14:paraId="67EBE029">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eastAsiaTheme="minorEastAsia"/>
                <w:b w:val="0"/>
                <w:bCs w:val="0"/>
                <w:sz w:val="24"/>
                <w:szCs w:val="24"/>
                <w:vertAlign w:val="baseline"/>
                <w:lang w:val="en-US" w:eastAsia="zh-CN"/>
              </w:rPr>
            </w:pPr>
            <w:r>
              <w:rPr>
                <w:rFonts w:hint="eastAsia"/>
                <w:b w:val="0"/>
                <w:bCs w:val="0"/>
                <w:sz w:val="24"/>
                <w:szCs w:val="24"/>
                <w:vertAlign w:val="baseline"/>
                <w:lang w:val="en-US" w:eastAsia="zh-CN"/>
              </w:rPr>
              <w:t>1</w:t>
            </w:r>
          </w:p>
        </w:tc>
        <w:tc>
          <w:tcPr>
            <w:tcW w:w="1740" w:type="dxa"/>
            <w:vAlign w:val="center"/>
          </w:tcPr>
          <w:p w14:paraId="01252561">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r>
              <w:rPr>
                <w:rFonts w:hint="eastAsia"/>
                <w:b w:val="0"/>
                <w:bCs w:val="0"/>
                <w:sz w:val="24"/>
                <w:szCs w:val="24"/>
                <w:vertAlign w:val="baseline"/>
              </w:rPr>
              <w:t>乳胶漆(无机涂料)</w:t>
            </w:r>
          </w:p>
        </w:tc>
        <w:tc>
          <w:tcPr>
            <w:tcW w:w="4395" w:type="dxa"/>
            <w:vAlign w:val="center"/>
          </w:tcPr>
          <w:p w14:paraId="07191777">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r>
              <w:rPr>
                <w:rFonts w:hint="eastAsia"/>
                <w:b w:val="0"/>
                <w:bCs w:val="0"/>
                <w:sz w:val="24"/>
                <w:szCs w:val="24"/>
              </w:rPr>
              <w:t>相当于“三棵树-云绘抗甲醛抗菌净味全效”“多乐--致悦竹炭抗里醛五合-”"文邦一抗甲醛净味五合-”“三青漆-儿童漆标准净化甲醛”“嘉宝莉-输氧竹炭净醛5合1墙面漆”“阿尔贝娜-高洁荷叶净味荷叶漆"满足设计要求的同档及以上产</w:t>
            </w:r>
            <w:bookmarkStart w:id="0" w:name="_GoBack"/>
            <w:bookmarkEnd w:id="0"/>
            <w:r>
              <w:rPr>
                <w:rFonts w:hint="eastAsia"/>
                <w:b w:val="0"/>
                <w:bCs w:val="0"/>
                <w:sz w:val="24"/>
                <w:szCs w:val="24"/>
              </w:rPr>
              <w:t>品。</w:t>
            </w:r>
          </w:p>
        </w:tc>
        <w:tc>
          <w:tcPr>
            <w:tcW w:w="1202" w:type="dxa"/>
            <w:vAlign w:val="center"/>
          </w:tcPr>
          <w:p w14:paraId="0E789B4C">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p>
        </w:tc>
      </w:tr>
      <w:tr w14:paraId="44D16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721" w:type="dxa"/>
            <w:vAlign w:val="center"/>
          </w:tcPr>
          <w:p w14:paraId="3C3D626E">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eastAsiaTheme="minorEastAsia"/>
                <w:b w:val="0"/>
                <w:bCs w:val="0"/>
                <w:sz w:val="24"/>
                <w:szCs w:val="24"/>
                <w:vertAlign w:val="baseline"/>
                <w:lang w:val="en-US" w:eastAsia="zh-CN"/>
              </w:rPr>
            </w:pPr>
            <w:r>
              <w:rPr>
                <w:rFonts w:hint="eastAsia"/>
                <w:b w:val="0"/>
                <w:bCs w:val="0"/>
                <w:sz w:val="24"/>
                <w:szCs w:val="24"/>
                <w:vertAlign w:val="baseline"/>
                <w:lang w:val="en-US" w:eastAsia="zh-CN"/>
              </w:rPr>
              <w:t>2</w:t>
            </w:r>
          </w:p>
        </w:tc>
        <w:tc>
          <w:tcPr>
            <w:tcW w:w="1740" w:type="dxa"/>
            <w:vAlign w:val="center"/>
          </w:tcPr>
          <w:p w14:paraId="5340E94E">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r>
              <w:rPr>
                <w:rFonts w:hint="eastAsia"/>
                <w:b w:val="0"/>
                <w:bCs w:val="0"/>
                <w:sz w:val="24"/>
                <w:szCs w:val="24"/>
                <w:vertAlign w:val="baseline"/>
              </w:rPr>
              <w:t>纸面石膏板</w:t>
            </w:r>
          </w:p>
        </w:tc>
        <w:tc>
          <w:tcPr>
            <w:tcW w:w="4395" w:type="dxa"/>
            <w:vAlign w:val="center"/>
          </w:tcPr>
          <w:p w14:paraId="3F700B46">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r>
              <w:rPr>
                <w:rFonts w:hint="eastAsia"/>
                <w:b w:val="0"/>
                <w:bCs w:val="0"/>
                <w:sz w:val="24"/>
                <w:szCs w:val="24"/>
              </w:rPr>
              <w:t>相当于“泰</w:t>
            </w:r>
            <w:r>
              <w:rPr>
                <w:rFonts w:hint="eastAsia"/>
                <w:b w:val="0"/>
                <w:bCs w:val="0"/>
                <w:sz w:val="24"/>
                <w:szCs w:val="24"/>
                <w:lang w:val="en-US" w:eastAsia="zh-CN"/>
              </w:rPr>
              <w:t>山</w:t>
            </w:r>
            <w:r>
              <w:rPr>
                <w:rFonts w:hint="eastAsia"/>
                <w:b w:val="0"/>
                <w:bCs w:val="0"/>
                <w:sz w:val="24"/>
                <w:szCs w:val="24"/>
              </w:rPr>
              <w:t>牌标准纸面石育板”“免宝宝标准纸面石</w:t>
            </w:r>
            <w:r>
              <w:rPr>
                <w:rFonts w:hint="eastAsia"/>
                <w:b w:val="0"/>
                <w:bCs w:val="0"/>
                <w:sz w:val="24"/>
                <w:szCs w:val="24"/>
                <w:lang w:val="en-US" w:eastAsia="zh-CN"/>
              </w:rPr>
              <w:t>膏</w:t>
            </w:r>
            <w:r>
              <w:rPr>
                <w:rFonts w:hint="eastAsia"/>
                <w:b w:val="0"/>
                <w:bCs w:val="0"/>
                <w:sz w:val="24"/>
                <w:szCs w:val="24"/>
              </w:rPr>
              <w:t>板”“圣戈班杰科标准纸面石</w:t>
            </w:r>
            <w:r>
              <w:rPr>
                <w:rFonts w:hint="eastAsia"/>
                <w:b w:val="0"/>
                <w:bCs w:val="0"/>
                <w:sz w:val="24"/>
                <w:szCs w:val="24"/>
                <w:lang w:val="en-US" w:eastAsia="zh-CN"/>
              </w:rPr>
              <w:t>膏</w:t>
            </w:r>
            <w:r>
              <w:rPr>
                <w:rFonts w:hint="eastAsia"/>
                <w:b w:val="0"/>
                <w:bCs w:val="0"/>
                <w:sz w:val="24"/>
                <w:szCs w:val="24"/>
              </w:rPr>
              <w:t>板”“可耐福石</w:t>
            </w:r>
            <w:r>
              <w:rPr>
                <w:rFonts w:hint="eastAsia"/>
                <w:b w:val="0"/>
                <w:bCs w:val="0"/>
                <w:sz w:val="24"/>
                <w:szCs w:val="24"/>
                <w:lang w:val="en-US" w:eastAsia="zh-CN"/>
              </w:rPr>
              <w:t>膏</w:t>
            </w:r>
            <w:r>
              <w:rPr>
                <w:rFonts w:hint="eastAsia"/>
                <w:b w:val="0"/>
                <w:bCs w:val="0"/>
                <w:sz w:val="24"/>
                <w:szCs w:val="24"/>
              </w:rPr>
              <w:t>板”“顶诺石膏板”满足设计要求的同档及以上</w:t>
            </w:r>
            <w:r>
              <w:rPr>
                <w:rFonts w:hint="eastAsia"/>
                <w:b w:val="0"/>
                <w:bCs w:val="0"/>
                <w:sz w:val="24"/>
                <w:szCs w:val="24"/>
                <w:lang w:val="en-US" w:eastAsia="zh-CN"/>
              </w:rPr>
              <w:t>产</w:t>
            </w:r>
            <w:r>
              <w:rPr>
                <w:rFonts w:hint="eastAsia"/>
                <w:b w:val="0"/>
                <w:bCs w:val="0"/>
                <w:sz w:val="24"/>
                <w:szCs w:val="24"/>
              </w:rPr>
              <w:t>品。</w:t>
            </w:r>
          </w:p>
        </w:tc>
        <w:tc>
          <w:tcPr>
            <w:tcW w:w="1202" w:type="dxa"/>
            <w:vAlign w:val="center"/>
          </w:tcPr>
          <w:p w14:paraId="3C86189E">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p>
        </w:tc>
      </w:tr>
      <w:tr w14:paraId="2E1BD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721" w:type="dxa"/>
            <w:vAlign w:val="center"/>
          </w:tcPr>
          <w:p w14:paraId="732DA778">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default"/>
                <w:b w:val="0"/>
                <w:bCs w:val="0"/>
                <w:sz w:val="24"/>
                <w:szCs w:val="24"/>
                <w:vertAlign w:val="baseline"/>
                <w:lang w:val="en-US" w:eastAsia="zh-CN"/>
              </w:rPr>
            </w:pPr>
            <w:r>
              <w:rPr>
                <w:rFonts w:hint="eastAsia"/>
                <w:b w:val="0"/>
                <w:bCs w:val="0"/>
                <w:sz w:val="24"/>
                <w:szCs w:val="24"/>
                <w:vertAlign w:val="baseline"/>
                <w:lang w:val="en-US" w:eastAsia="zh-CN"/>
              </w:rPr>
              <w:t>3</w:t>
            </w:r>
          </w:p>
        </w:tc>
        <w:tc>
          <w:tcPr>
            <w:tcW w:w="1740" w:type="dxa"/>
            <w:vAlign w:val="center"/>
          </w:tcPr>
          <w:p w14:paraId="5432C12B">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default" w:eastAsiaTheme="minorEastAsia"/>
                <w:b w:val="0"/>
                <w:bCs w:val="0"/>
                <w:sz w:val="24"/>
                <w:szCs w:val="24"/>
                <w:vertAlign w:val="baseline"/>
                <w:lang w:val="en-US" w:eastAsia="zh-CN"/>
              </w:rPr>
            </w:pPr>
            <w:r>
              <w:rPr>
                <w:rFonts w:hint="eastAsia"/>
                <w:b w:val="0"/>
                <w:bCs w:val="0"/>
                <w:sz w:val="24"/>
                <w:szCs w:val="24"/>
                <w:vertAlign w:val="baseline"/>
                <w:lang w:val="en-US" w:eastAsia="zh-CN"/>
              </w:rPr>
              <w:t>PPR管</w:t>
            </w:r>
          </w:p>
        </w:tc>
        <w:tc>
          <w:tcPr>
            <w:tcW w:w="4395" w:type="dxa"/>
            <w:vAlign w:val="center"/>
          </w:tcPr>
          <w:p w14:paraId="4D0BE997">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rPr>
            </w:pPr>
            <w:r>
              <w:rPr>
                <w:rFonts w:hint="eastAsia"/>
                <w:b w:val="0"/>
                <w:bCs w:val="0"/>
                <w:sz w:val="24"/>
                <w:szCs w:val="24"/>
              </w:rPr>
              <w:t>相当于“</w:t>
            </w:r>
            <w:r>
              <w:rPr>
                <w:rFonts w:hint="eastAsia"/>
                <w:b w:val="0"/>
                <w:bCs w:val="0"/>
                <w:sz w:val="24"/>
                <w:szCs w:val="24"/>
                <w:lang w:val="en-US" w:eastAsia="zh-CN"/>
              </w:rPr>
              <w:t>日丰</w:t>
            </w:r>
            <w:r>
              <w:rPr>
                <w:rFonts w:hint="eastAsia"/>
                <w:b w:val="0"/>
                <w:bCs w:val="0"/>
                <w:sz w:val="24"/>
                <w:szCs w:val="24"/>
              </w:rPr>
              <w:t>”“</w:t>
            </w:r>
            <w:r>
              <w:rPr>
                <w:rFonts w:hint="eastAsia"/>
                <w:b w:val="0"/>
                <w:bCs w:val="0"/>
                <w:sz w:val="24"/>
                <w:szCs w:val="24"/>
                <w:lang w:val="en-US" w:eastAsia="zh-CN"/>
              </w:rPr>
              <w:t>联塑</w:t>
            </w:r>
            <w:r>
              <w:rPr>
                <w:rFonts w:hint="eastAsia"/>
                <w:b w:val="0"/>
                <w:bCs w:val="0"/>
                <w:sz w:val="24"/>
                <w:szCs w:val="24"/>
              </w:rPr>
              <w:t>”“</w:t>
            </w:r>
            <w:r>
              <w:rPr>
                <w:rFonts w:hint="eastAsia"/>
                <w:b w:val="0"/>
                <w:bCs w:val="0"/>
                <w:sz w:val="24"/>
                <w:szCs w:val="24"/>
                <w:lang w:val="en-US" w:eastAsia="zh-CN"/>
              </w:rPr>
              <w:t>金牛管</w:t>
            </w:r>
            <w:r>
              <w:rPr>
                <w:rFonts w:hint="eastAsia"/>
                <w:b w:val="0"/>
                <w:bCs w:val="0"/>
                <w:sz w:val="24"/>
                <w:szCs w:val="24"/>
              </w:rPr>
              <w:t>”“</w:t>
            </w:r>
            <w:r>
              <w:rPr>
                <w:rFonts w:hint="eastAsia"/>
                <w:b w:val="0"/>
                <w:bCs w:val="0"/>
                <w:sz w:val="24"/>
                <w:szCs w:val="24"/>
                <w:lang w:val="en-US" w:eastAsia="zh-CN"/>
              </w:rPr>
              <w:t>伟星</w:t>
            </w:r>
            <w:r>
              <w:rPr>
                <w:rFonts w:hint="eastAsia"/>
                <w:b w:val="0"/>
                <w:bCs w:val="0"/>
                <w:sz w:val="24"/>
                <w:szCs w:val="24"/>
              </w:rPr>
              <w:t>”满足设计要求的同档及以上</w:t>
            </w:r>
            <w:r>
              <w:rPr>
                <w:rFonts w:hint="eastAsia"/>
                <w:b w:val="0"/>
                <w:bCs w:val="0"/>
                <w:sz w:val="24"/>
                <w:szCs w:val="24"/>
                <w:lang w:val="en-US" w:eastAsia="zh-CN"/>
              </w:rPr>
              <w:t>产</w:t>
            </w:r>
            <w:r>
              <w:rPr>
                <w:rFonts w:hint="eastAsia"/>
                <w:b w:val="0"/>
                <w:bCs w:val="0"/>
                <w:sz w:val="24"/>
                <w:szCs w:val="24"/>
              </w:rPr>
              <w:t>品。</w:t>
            </w:r>
          </w:p>
        </w:tc>
        <w:tc>
          <w:tcPr>
            <w:tcW w:w="1202" w:type="dxa"/>
            <w:vAlign w:val="center"/>
          </w:tcPr>
          <w:p w14:paraId="603BBD0F">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p>
        </w:tc>
      </w:tr>
      <w:tr w14:paraId="1E3E9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721" w:type="dxa"/>
            <w:vAlign w:val="center"/>
          </w:tcPr>
          <w:p w14:paraId="615EFBA8">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default"/>
                <w:b w:val="0"/>
                <w:bCs w:val="0"/>
                <w:sz w:val="24"/>
                <w:szCs w:val="24"/>
                <w:vertAlign w:val="baseline"/>
                <w:lang w:val="en-US" w:eastAsia="zh-CN"/>
              </w:rPr>
            </w:pPr>
            <w:r>
              <w:rPr>
                <w:rFonts w:hint="eastAsia"/>
                <w:b w:val="0"/>
                <w:bCs w:val="0"/>
                <w:sz w:val="24"/>
                <w:szCs w:val="24"/>
                <w:vertAlign w:val="baseline"/>
                <w:lang w:val="en-US" w:eastAsia="zh-CN"/>
              </w:rPr>
              <w:t>4</w:t>
            </w:r>
          </w:p>
        </w:tc>
        <w:tc>
          <w:tcPr>
            <w:tcW w:w="1740" w:type="dxa"/>
            <w:vAlign w:val="center"/>
          </w:tcPr>
          <w:p w14:paraId="3C3B3CAB">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default" w:eastAsiaTheme="minorEastAsia"/>
                <w:b w:val="0"/>
                <w:bCs w:val="0"/>
                <w:sz w:val="24"/>
                <w:szCs w:val="24"/>
                <w:vertAlign w:val="baseline"/>
                <w:lang w:val="en-US" w:eastAsia="zh-CN"/>
              </w:rPr>
            </w:pPr>
            <w:r>
              <w:rPr>
                <w:rFonts w:hint="eastAsia"/>
                <w:b w:val="0"/>
                <w:bCs w:val="0"/>
                <w:sz w:val="24"/>
                <w:szCs w:val="24"/>
                <w:vertAlign w:val="baseline"/>
                <w:lang w:val="en-US" w:eastAsia="zh-CN"/>
              </w:rPr>
              <w:t>卫生洁具</w:t>
            </w:r>
          </w:p>
        </w:tc>
        <w:tc>
          <w:tcPr>
            <w:tcW w:w="4395" w:type="dxa"/>
            <w:vAlign w:val="center"/>
          </w:tcPr>
          <w:p w14:paraId="3368545B">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rPr>
            </w:pPr>
            <w:r>
              <w:rPr>
                <w:rFonts w:hint="eastAsia"/>
                <w:b w:val="0"/>
                <w:bCs w:val="0"/>
                <w:sz w:val="24"/>
                <w:szCs w:val="24"/>
              </w:rPr>
              <w:t>相当于“九牧”“恒洁”“箭牌”“ </w:t>
            </w:r>
            <w:r>
              <w:rPr>
                <w:rFonts w:hint="default"/>
                <w:b w:val="0"/>
                <w:bCs w:val="0"/>
                <w:sz w:val="24"/>
                <w:szCs w:val="24"/>
              </w:rPr>
              <w:t>剑驰卫浴</w:t>
            </w:r>
            <w:r>
              <w:rPr>
                <w:rFonts w:hint="eastAsia"/>
                <w:b w:val="0"/>
                <w:bCs w:val="0"/>
                <w:sz w:val="24"/>
                <w:szCs w:val="24"/>
              </w:rPr>
              <w:t>”“</w:t>
            </w:r>
            <w:r>
              <w:rPr>
                <w:rFonts w:hint="eastAsia"/>
                <w:b w:val="0"/>
                <w:bCs w:val="0"/>
                <w:sz w:val="24"/>
                <w:szCs w:val="24"/>
                <w:lang w:val="en-US" w:eastAsia="zh-CN"/>
              </w:rPr>
              <w:t>东鹏</w:t>
            </w:r>
            <w:r>
              <w:rPr>
                <w:rFonts w:hint="eastAsia"/>
                <w:b w:val="0"/>
                <w:bCs w:val="0"/>
                <w:sz w:val="24"/>
                <w:szCs w:val="24"/>
              </w:rPr>
              <w:t>”满足设计要求的同档及以上</w:t>
            </w:r>
            <w:r>
              <w:rPr>
                <w:rFonts w:hint="eastAsia"/>
                <w:b w:val="0"/>
                <w:bCs w:val="0"/>
                <w:sz w:val="24"/>
                <w:szCs w:val="24"/>
                <w:lang w:val="en-US" w:eastAsia="zh-CN"/>
              </w:rPr>
              <w:t>产</w:t>
            </w:r>
            <w:r>
              <w:rPr>
                <w:rFonts w:hint="eastAsia"/>
                <w:b w:val="0"/>
                <w:bCs w:val="0"/>
                <w:sz w:val="24"/>
                <w:szCs w:val="24"/>
              </w:rPr>
              <w:t>品。</w:t>
            </w:r>
          </w:p>
        </w:tc>
        <w:tc>
          <w:tcPr>
            <w:tcW w:w="1202" w:type="dxa"/>
            <w:vAlign w:val="center"/>
          </w:tcPr>
          <w:p w14:paraId="2E5356FB">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p>
        </w:tc>
      </w:tr>
      <w:tr w14:paraId="343F6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721" w:type="dxa"/>
            <w:shd w:val="clear" w:color="auto" w:fill="auto"/>
            <w:vAlign w:val="center"/>
          </w:tcPr>
          <w:p w14:paraId="7E7E7108">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default" w:asciiTheme="minorHAnsi" w:hAnsiTheme="minorHAnsi" w:eastAsiaTheme="minorEastAsia" w:cstheme="minorBidi"/>
                <w:b w:val="0"/>
                <w:bCs w:val="0"/>
                <w:kern w:val="2"/>
                <w:sz w:val="24"/>
                <w:szCs w:val="24"/>
                <w:vertAlign w:val="baseline"/>
                <w:lang w:val="en-US" w:eastAsia="zh-CN" w:bidi="ar-SA"/>
              </w:rPr>
            </w:pPr>
            <w:r>
              <w:rPr>
                <w:rFonts w:hint="eastAsia" w:cstheme="minorBidi"/>
                <w:b w:val="0"/>
                <w:bCs w:val="0"/>
                <w:kern w:val="2"/>
                <w:sz w:val="24"/>
                <w:szCs w:val="24"/>
                <w:vertAlign w:val="baseline"/>
                <w:lang w:val="en-US" w:eastAsia="zh-CN" w:bidi="ar-SA"/>
              </w:rPr>
              <w:t>5</w:t>
            </w:r>
          </w:p>
        </w:tc>
        <w:tc>
          <w:tcPr>
            <w:tcW w:w="1740" w:type="dxa"/>
            <w:shd w:val="clear" w:color="auto" w:fill="auto"/>
            <w:vAlign w:val="center"/>
          </w:tcPr>
          <w:p w14:paraId="22625EFF">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heme="minorHAnsi" w:hAnsiTheme="minorHAnsi" w:eastAsiaTheme="minorEastAsia" w:cstheme="minorBidi"/>
                <w:b w:val="0"/>
                <w:bCs w:val="0"/>
                <w:kern w:val="2"/>
                <w:sz w:val="24"/>
                <w:szCs w:val="24"/>
                <w:vertAlign w:val="baseline"/>
                <w:lang w:val="en-US" w:eastAsia="zh-CN" w:bidi="ar-SA"/>
              </w:rPr>
            </w:pPr>
            <w:r>
              <w:rPr>
                <w:rFonts w:hint="eastAsia"/>
                <w:b w:val="0"/>
                <w:bCs w:val="0"/>
                <w:sz w:val="24"/>
                <w:szCs w:val="24"/>
                <w:vertAlign w:val="baseline"/>
                <w:lang w:val="en-US" w:eastAsia="zh-CN"/>
              </w:rPr>
              <w:t>水龙头</w:t>
            </w:r>
          </w:p>
        </w:tc>
        <w:tc>
          <w:tcPr>
            <w:tcW w:w="4395" w:type="dxa"/>
            <w:shd w:val="clear" w:color="auto" w:fill="auto"/>
            <w:vAlign w:val="center"/>
          </w:tcPr>
          <w:p w14:paraId="2AB3F4CD">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heme="minorHAnsi" w:hAnsiTheme="minorHAnsi" w:eastAsiaTheme="minorEastAsia" w:cstheme="minorBidi"/>
                <w:b w:val="0"/>
                <w:bCs w:val="0"/>
                <w:kern w:val="2"/>
                <w:sz w:val="24"/>
                <w:szCs w:val="24"/>
                <w:lang w:val="en-US" w:eastAsia="zh-CN" w:bidi="ar-SA"/>
              </w:rPr>
            </w:pPr>
            <w:r>
              <w:rPr>
                <w:rFonts w:hint="eastAsia"/>
                <w:b w:val="0"/>
                <w:bCs w:val="0"/>
                <w:sz w:val="24"/>
                <w:szCs w:val="24"/>
              </w:rPr>
              <w:t>相当于“九牧”“恒洁”“箭牌”“ </w:t>
            </w:r>
            <w:r>
              <w:rPr>
                <w:rFonts w:hint="default"/>
                <w:b w:val="0"/>
                <w:bCs w:val="0"/>
                <w:sz w:val="24"/>
                <w:szCs w:val="24"/>
              </w:rPr>
              <w:t>剑驰卫浴</w:t>
            </w:r>
            <w:r>
              <w:rPr>
                <w:rFonts w:hint="eastAsia"/>
                <w:b w:val="0"/>
                <w:bCs w:val="0"/>
                <w:sz w:val="24"/>
                <w:szCs w:val="24"/>
              </w:rPr>
              <w:t>”“</w:t>
            </w:r>
            <w:r>
              <w:rPr>
                <w:rFonts w:hint="eastAsia"/>
                <w:b w:val="0"/>
                <w:bCs w:val="0"/>
                <w:sz w:val="24"/>
                <w:szCs w:val="24"/>
                <w:lang w:val="en-US" w:eastAsia="zh-CN"/>
              </w:rPr>
              <w:t>东鹏</w:t>
            </w:r>
            <w:r>
              <w:rPr>
                <w:rFonts w:hint="eastAsia"/>
                <w:b w:val="0"/>
                <w:bCs w:val="0"/>
                <w:sz w:val="24"/>
                <w:szCs w:val="24"/>
              </w:rPr>
              <w:t>”满足设计要求的同档及以上</w:t>
            </w:r>
            <w:r>
              <w:rPr>
                <w:rFonts w:hint="eastAsia"/>
                <w:b w:val="0"/>
                <w:bCs w:val="0"/>
                <w:sz w:val="24"/>
                <w:szCs w:val="24"/>
                <w:lang w:val="en-US" w:eastAsia="zh-CN"/>
              </w:rPr>
              <w:t>产</w:t>
            </w:r>
            <w:r>
              <w:rPr>
                <w:rFonts w:hint="eastAsia"/>
                <w:b w:val="0"/>
                <w:bCs w:val="0"/>
                <w:sz w:val="24"/>
                <w:szCs w:val="24"/>
              </w:rPr>
              <w:t>品。</w:t>
            </w:r>
          </w:p>
        </w:tc>
        <w:tc>
          <w:tcPr>
            <w:tcW w:w="1202" w:type="dxa"/>
            <w:vAlign w:val="center"/>
          </w:tcPr>
          <w:p w14:paraId="0ED5F20B">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p>
        </w:tc>
      </w:tr>
      <w:tr w14:paraId="3053A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721" w:type="dxa"/>
            <w:shd w:val="clear" w:color="auto" w:fill="auto"/>
            <w:vAlign w:val="center"/>
          </w:tcPr>
          <w:p w14:paraId="04B25125">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heme="minorHAnsi" w:hAnsiTheme="minorHAnsi" w:eastAsiaTheme="minorEastAsia" w:cstheme="minorBidi"/>
                <w:b w:val="0"/>
                <w:bCs w:val="0"/>
                <w:kern w:val="2"/>
                <w:sz w:val="24"/>
                <w:szCs w:val="24"/>
                <w:vertAlign w:val="baseline"/>
                <w:lang w:val="en-US" w:eastAsia="zh-CN" w:bidi="ar-SA"/>
              </w:rPr>
            </w:pPr>
            <w:r>
              <w:rPr>
                <w:rFonts w:hint="eastAsia" w:cstheme="minorBidi"/>
                <w:b w:val="0"/>
                <w:bCs w:val="0"/>
                <w:kern w:val="2"/>
                <w:sz w:val="24"/>
                <w:szCs w:val="24"/>
                <w:vertAlign w:val="baseline"/>
                <w:lang w:val="en-US" w:eastAsia="zh-CN" w:bidi="ar-SA"/>
              </w:rPr>
              <w:t>6</w:t>
            </w:r>
          </w:p>
        </w:tc>
        <w:tc>
          <w:tcPr>
            <w:tcW w:w="1740" w:type="dxa"/>
            <w:shd w:val="clear" w:color="auto" w:fill="auto"/>
            <w:vAlign w:val="center"/>
          </w:tcPr>
          <w:p w14:paraId="1B624417">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lang w:val="en-US" w:eastAsia="zh-CN"/>
              </w:rPr>
            </w:pPr>
            <w:r>
              <w:rPr>
                <w:rFonts w:hint="eastAsia"/>
                <w:b w:val="0"/>
                <w:bCs w:val="0"/>
                <w:sz w:val="24"/>
                <w:szCs w:val="24"/>
                <w:vertAlign w:val="baseline"/>
                <w:lang w:val="en-US" w:eastAsia="zh-CN"/>
              </w:rPr>
              <w:t>热水器</w:t>
            </w:r>
          </w:p>
        </w:tc>
        <w:tc>
          <w:tcPr>
            <w:tcW w:w="4395" w:type="dxa"/>
            <w:shd w:val="clear" w:color="auto" w:fill="auto"/>
            <w:vAlign w:val="center"/>
          </w:tcPr>
          <w:p w14:paraId="481C66E4">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heme="minorHAnsi" w:hAnsiTheme="minorHAnsi" w:eastAsiaTheme="minorEastAsia" w:cstheme="minorBidi"/>
                <w:b w:val="0"/>
                <w:bCs w:val="0"/>
                <w:kern w:val="2"/>
                <w:sz w:val="24"/>
                <w:szCs w:val="24"/>
                <w:lang w:val="en-US" w:eastAsia="zh-CN" w:bidi="ar-SA"/>
              </w:rPr>
            </w:pPr>
            <w:r>
              <w:rPr>
                <w:rFonts w:hint="eastAsia"/>
                <w:b w:val="0"/>
                <w:bCs w:val="0"/>
                <w:sz w:val="24"/>
                <w:szCs w:val="24"/>
              </w:rPr>
              <w:t>相当于“</w:t>
            </w:r>
            <w:r>
              <w:rPr>
                <w:rFonts w:hint="eastAsia"/>
                <w:b w:val="0"/>
                <w:bCs w:val="0"/>
                <w:sz w:val="24"/>
                <w:szCs w:val="24"/>
                <w:lang w:val="en-US" w:eastAsia="zh-CN"/>
              </w:rPr>
              <w:t>海尔</w:t>
            </w:r>
            <w:r>
              <w:rPr>
                <w:rFonts w:hint="eastAsia"/>
                <w:b w:val="0"/>
                <w:bCs w:val="0"/>
                <w:sz w:val="24"/>
                <w:szCs w:val="24"/>
              </w:rPr>
              <w:t>”“</w:t>
            </w:r>
            <w:r>
              <w:rPr>
                <w:rFonts w:hint="eastAsia"/>
                <w:b w:val="0"/>
                <w:bCs w:val="0"/>
                <w:sz w:val="24"/>
                <w:szCs w:val="24"/>
                <w:lang w:val="en-US" w:eastAsia="zh-CN"/>
              </w:rPr>
              <w:t>史密斯</w:t>
            </w:r>
            <w:r>
              <w:rPr>
                <w:rFonts w:hint="eastAsia"/>
                <w:b w:val="0"/>
                <w:bCs w:val="0"/>
                <w:sz w:val="24"/>
                <w:szCs w:val="24"/>
              </w:rPr>
              <w:t>”“</w:t>
            </w:r>
            <w:r>
              <w:rPr>
                <w:rFonts w:hint="eastAsia"/>
                <w:b w:val="0"/>
                <w:bCs w:val="0"/>
                <w:sz w:val="24"/>
                <w:szCs w:val="24"/>
                <w:lang w:val="en-US" w:eastAsia="zh-CN"/>
              </w:rPr>
              <w:t>美的</w:t>
            </w:r>
            <w:r>
              <w:rPr>
                <w:rFonts w:hint="eastAsia"/>
                <w:b w:val="0"/>
                <w:bCs w:val="0"/>
                <w:sz w:val="24"/>
                <w:szCs w:val="24"/>
              </w:rPr>
              <w:t>”“ </w:t>
            </w:r>
            <w:r>
              <w:rPr>
                <w:rFonts w:hint="eastAsia"/>
                <w:b w:val="0"/>
                <w:bCs w:val="0"/>
                <w:sz w:val="24"/>
                <w:szCs w:val="24"/>
                <w:lang w:val="en-US" w:eastAsia="zh-CN"/>
              </w:rPr>
              <w:t>华帝</w:t>
            </w:r>
            <w:r>
              <w:rPr>
                <w:rFonts w:hint="eastAsia"/>
                <w:b w:val="0"/>
                <w:bCs w:val="0"/>
                <w:sz w:val="24"/>
                <w:szCs w:val="24"/>
              </w:rPr>
              <w:t>”满足设计要求的同档及以上</w:t>
            </w:r>
            <w:r>
              <w:rPr>
                <w:rFonts w:hint="eastAsia"/>
                <w:b w:val="0"/>
                <w:bCs w:val="0"/>
                <w:sz w:val="24"/>
                <w:szCs w:val="24"/>
                <w:lang w:val="en-US" w:eastAsia="zh-CN"/>
              </w:rPr>
              <w:t>产</w:t>
            </w:r>
            <w:r>
              <w:rPr>
                <w:rFonts w:hint="eastAsia"/>
                <w:b w:val="0"/>
                <w:bCs w:val="0"/>
                <w:sz w:val="24"/>
                <w:szCs w:val="24"/>
              </w:rPr>
              <w:t>品。</w:t>
            </w:r>
          </w:p>
        </w:tc>
        <w:tc>
          <w:tcPr>
            <w:tcW w:w="1202" w:type="dxa"/>
            <w:shd w:val="clear" w:color="auto" w:fill="auto"/>
            <w:vAlign w:val="center"/>
          </w:tcPr>
          <w:p w14:paraId="730547C4">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heme="minorHAnsi" w:hAnsiTheme="minorHAnsi" w:eastAsiaTheme="minorEastAsia" w:cstheme="minorBidi"/>
                <w:b w:val="0"/>
                <w:bCs w:val="0"/>
                <w:kern w:val="2"/>
                <w:sz w:val="24"/>
                <w:szCs w:val="24"/>
                <w:vertAlign w:val="baseline"/>
                <w:lang w:val="en-US" w:eastAsia="zh-CN" w:bidi="ar-SA"/>
              </w:rPr>
            </w:pPr>
          </w:p>
        </w:tc>
      </w:tr>
      <w:tr w14:paraId="1BE33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721" w:type="dxa"/>
            <w:shd w:val="clear" w:color="auto" w:fill="auto"/>
            <w:vAlign w:val="center"/>
          </w:tcPr>
          <w:p w14:paraId="0D85297F">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heme="minorHAnsi" w:hAnsiTheme="minorHAnsi" w:eastAsiaTheme="minorEastAsia" w:cstheme="minorBidi"/>
                <w:b w:val="0"/>
                <w:bCs w:val="0"/>
                <w:kern w:val="2"/>
                <w:sz w:val="24"/>
                <w:szCs w:val="24"/>
                <w:vertAlign w:val="baseline"/>
                <w:lang w:val="en-US" w:eastAsia="zh-CN" w:bidi="ar-SA"/>
              </w:rPr>
            </w:pPr>
            <w:r>
              <w:rPr>
                <w:rFonts w:hint="eastAsia" w:cstheme="minorBidi"/>
                <w:b w:val="0"/>
                <w:bCs w:val="0"/>
                <w:kern w:val="2"/>
                <w:sz w:val="24"/>
                <w:szCs w:val="24"/>
                <w:vertAlign w:val="baseline"/>
                <w:lang w:val="en-US" w:eastAsia="zh-CN" w:bidi="ar-SA"/>
              </w:rPr>
              <w:t>7</w:t>
            </w:r>
          </w:p>
        </w:tc>
        <w:tc>
          <w:tcPr>
            <w:tcW w:w="1740" w:type="dxa"/>
            <w:shd w:val="clear" w:color="auto" w:fill="auto"/>
            <w:vAlign w:val="center"/>
          </w:tcPr>
          <w:p w14:paraId="2E163CC4">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default" w:asciiTheme="minorHAnsi" w:hAnsiTheme="minorHAnsi" w:eastAsiaTheme="minorEastAsia" w:cstheme="minorBidi"/>
                <w:b w:val="0"/>
                <w:bCs w:val="0"/>
                <w:kern w:val="2"/>
                <w:sz w:val="24"/>
                <w:szCs w:val="24"/>
                <w:vertAlign w:val="baseline"/>
                <w:lang w:val="en-US" w:eastAsia="zh-CN" w:bidi="ar-SA"/>
              </w:rPr>
            </w:pPr>
            <w:r>
              <w:rPr>
                <w:rFonts w:hint="eastAsia" w:cstheme="minorBidi"/>
                <w:b w:val="0"/>
                <w:bCs w:val="0"/>
                <w:kern w:val="2"/>
                <w:sz w:val="24"/>
                <w:szCs w:val="24"/>
                <w:vertAlign w:val="baseline"/>
                <w:lang w:val="en-US" w:eastAsia="zh-CN" w:bidi="ar-SA"/>
              </w:rPr>
              <w:t>柜体生态板、柜门</w:t>
            </w:r>
          </w:p>
        </w:tc>
        <w:tc>
          <w:tcPr>
            <w:tcW w:w="4395" w:type="dxa"/>
            <w:shd w:val="clear" w:color="auto" w:fill="auto"/>
            <w:vAlign w:val="center"/>
          </w:tcPr>
          <w:p w14:paraId="25D74762">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heme="minorHAnsi" w:hAnsiTheme="minorHAnsi" w:eastAsiaTheme="minorEastAsia" w:cstheme="minorBidi"/>
                <w:b w:val="0"/>
                <w:bCs w:val="0"/>
                <w:kern w:val="2"/>
                <w:sz w:val="24"/>
                <w:szCs w:val="24"/>
                <w:lang w:val="en-US" w:eastAsia="zh-CN" w:bidi="ar-SA"/>
              </w:rPr>
            </w:pPr>
            <w:r>
              <w:rPr>
                <w:rFonts w:hint="eastAsia"/>
                <w:b w:val="0"/>
                <w:bCs w:val="0"/>
                <w:sz w:val="24"/>
                <w:szCs w:val="24"/>
              </w:rPr>
              <w:t>相当于“</w:t>
            </w:r>
            <w:r>
              <w:rPr>
                <w:rFonts w:hint="eastAsia"/>
                <w:b w:val="0"/>
                <w:bCs w:val="0"/>
                <w:sz w:val="24"/>
                <w:szCs w:val="24"/>
                <w:lang w:val="en-US" w:eastAsia="zh-CN"/>
              </w:rPr>
              <w:t>兔宝宝</w:t>
            </w:r>
            <w:r>
              <w:rPr>
                <w:rFonts w:hint="eastAsia"/>
                <w:b w:val="0"/>
                <w:bCs w:val="0"/>
                <w:sz w:val="24"/>
                <w:szCs w:val="24"/>
              </w:rPr>
              <w:t>”“</w:t>
            </w:r>
            <w:r>
              <w:rPr>
                <w:rFonts w:hint="eastAsia"/>
                <w:b w:val="0"/>
                <w:bCs w:val="0"/>
                <w:sz w:val="24"/>
                <w:szCs w:val="24"/>
                <w:lang w:val="en-US" w:eastAsia="zh-CN"/>
              </w:rPr>
              <w:t>莫干山</w:t>
            </w:r>
            <w:r>
              <w:rPr>
                <w:rFonts w:hint="eastAsia"/>
                <w:b w:val="0"/>
                <w:bCs w:val="0"/>
                <w:sz w:val="24"/>
                <w:szCs w:val="24"/>
              </w:rPr>
              <w:t>”“千年舟”“</w:t>
            </w:r>
            <w:r>
              <w:rPr>
                <w:rFonts w:hint="eastAsia"/>
                <w:b w:val="0"/>
                <w:bCs w:val="0"/>
                <w:sz w:val="24"/>
                <w:szCs w:val="24"/>
                <w:lang w:val="en-US" w:eastAsia="zh-CN"/>
              </w:rPr>
              <w:t>伟业</w:t>
            </w:r>
            <w:r>
              <w:rPr>
                <w:rFonts w:hint="eastAsia"/>
                <w:b w:val="0"/>
                <w:bCs w:val="0"/>
                <w:sz w:val="24"/>
                <w:szCs w:val="24"/>
              </w:rPr>
              <w:t> ”满足设计要求的同档及以上</w:t>
            </w:r>
            <w:r>
              <w:rPr>
                <w:rFonts w:hint="eastAsia"/>
                <w:b w:val="0"/>
                <w:bCs w:val="0"/>
                <w:sz w:val="24"/>
                <w:szCs w:val="24"/>
                <w:lang w:val="en-US" w:eastAsia="zh-CN"/>
              </w:rPr>
              <w:t>产</w:t>
            </w:r>
            <w:r>
              <w:rPr>
                <w:rFonts w:hint="eastAsia"/>
                <w:b w:val="0"/>
                <w:bCs w:val="0"/>
                <w:sz w:val="24"/>
                <w:szCs w:val="24"/>
              </w:rPr>
              <w:t>品。</w:t>
            </w:r>
          </w:p>
        </w:tc>
        <w:tc>
          <w:tcPr>
            <w:tcW w:w="1202" w:type="dxa"/>
            <w:shd w:val="clear" w:color="auto" w:fill="auto"/>
            <w:vAlign w:val="center"/>
          </w:tcPr>
          <w:p w14:paraId="3F841F4A">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heme="minorHAnsi" w:hAnsiTheme="minorHAnsi" w:eastAsiaTheme="minorEastAsia" w:cstheme="minorBidi"/>
                <w:b w:val="0"/>
                <w:bCs w:val="0"/>
                <w:kern w:val="2"/>
                <w:sz w:val="24"/>
                <w:szCs w:val="24"/>
                <w:vertAlign w:val="baseline"/>
                <w:lang w:val="en-US" w:eastAsia="zh-CN" w:bidi="ar-SA"/>
              </w:rPr>
            </w:pPr>
          </w:p>
        </w:tc>
      </w:tr>
    </w:tbl>
    <w:p w14:paraId="08CA7F3B">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972349"/>
    <w:rsid w:val="01165EAE"/>
    <w:rsid w:val="0E612B88"/>
    <w:rsid w:val="137F18E2"/>
    <w:rsid w:val="16266E15"/>
    <w:rsid w:val="173D035A"/>
    <w:rsid w:val="23096F17"/>
    <w:rsid w:val="2D972349"/>
    <w:rsid w:val="387D0705"/>
    <w:rsid w:val="4C4B1D39"/>
    <w:rsid w:val="51AE610B"/>
    <w:rsid w:val="582857EC"/>
    <w:rsid w:val="6F746E0B"/>
    <w:rsid w:val="73384217"/>
    <w:rsid w:val="76CA4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1453</Words>
  <Characters>1531</Characters>
  <Lines>0</Lines>
  <Paragraphs>0</Paragraphs>
  <TotalTime>23</TotalTime>
  <ScaleCrop>false</ScaleCrop>
  <LinksUpToDate>false</LinksUpToDate>
  <CharactersWithSpaces>1563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2025-06-17T08:15:00Z</dcterms:created>
  <dc:creator>张成</dc:creator>
  <cp:lastModifiedBy>张成</cp:lastModifiedBy>
  <dcterms:modified xsi:type="dcterms:W3CDTF">2025-06-20T02:28:50Z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1518580F043A4084B38580EA33BF1C27_13</vt:lpwstr>
  </property>
  <property fmtid="{D5CDD505-2E9C-101B-9397-08002B2CF9AE}" pid="4" name="KSOTemplateDocerSaveRecord">
    <vt:lpwstr>eyJoZGlkIjoiNzFhYWNkZTBiMjE3Y2M5NjBkNTUyMmYxMjYwNGY0MjQiLCJ1c2VySWQiOiIzODI1MDA3NzgifQ==</vt:lpwstr>
  </property>
</Properties>
</file>