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购买创作及演出服务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伊金霍洛旗文化和旅游局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内蒙古众之鑫项目管理有限公司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ESZCYQS-C-F-250007</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内蒙古众之鑫项目管理有限公司</w:t>
      </w:r>
      <w:r>
        <w:rPr>
          <w:rFonts w:ascii="仿宋_GB2312" w:hAnsi="仿宋_GB2312" w:cs="仿宋_GB2312" w:eastAsia="仿宋_GB2312"/>
        </w:rPr>
        <w:t xml:space="preserve"> 受 </w:t>
      </w:r>
      <w:r>
        <w:rPr>
          <w:rFonts w:ascii="仿宋_GB2312" w:hAnsi="仿宋_GB2312" w:cs="仿宋_GB2312" w:eastAsia="仿宋_GB2312"/>
        </w:rPr>
        <w:t>伊金霍洛旗文化和旅游局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购买创作及演出服务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购买创作及演出服务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ESZCYQS-C-F-250007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435[2025]00014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2,997,933.00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购买创作及演出服务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2,997,933.00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1、资格要求：投标人应符合《中华人民共和国政府采购法》第二十二条规定的条件。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内蒙古众之鑫项目管理有限公司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阿勒腾席热镇水岸新城清园5栋二单元703</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杨楠</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18247702434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伊金霍洛旗文化和旅游局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娜和雅</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14794931118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代理服务费收费标准：代理服务费包含在投标报价中，收取金额为中标金额的1.5%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伊金霍洛旗文化和旅游局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内蒙古众之鑫项目管理有限公司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通过该项目的实施，提升公共文化服务水平</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服务期：合同签订后1年</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标的提供地点：</w:t>
            </w:r>
            <w:r>
              <w:rPr>
                <w:rFonts w:ascii="仿宋_GB2312" w:hAnsi="仿宋_GB2312" w:cs="仿宋_GB2312" w:eastAsia="仿宋_GB2312"/>
                <w:sz w:val="21"/>
                <w:color w:val="0000FF"/>
              </w:rPr>
              <w:t>鄂尔多斯市伊金霍洛旗</w:t>
            </w:r>
            <w:r>
              <w:rPr>
                <w:rFonts w:ascii="仿宋_GB2312" w:hAnsi="仿宋_GB2312" w:cs="仿宋_GB2312" w:eastAsia="仿宋_GB2312"/>
                <w:sz w:val="21"/>
                <w:color w:val="0000FF"/>
              </w:rPr>
              <w:t>，具体应符合采购人要求</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1、 付款条件说明： 甲方于本协议签订后向乙方支付服务费 ，达到付款条件起 10 日内，支付合同总金额的 50.00%。</w:t>
            </w:r>
          </w:p>
          <w:p>
            <w:pPr>
              <w:pStyle w:val="null5"/>
              <w:jc w:val="left"/>
            </w:pPr>
            <w:r>
              <w:rPr>
                <w:rFonts w:ascii="仿宋_GB2312" w:hAnsi="仿宋_GB2312" w:cs="仿宋_GB2312" w:eastAsia="仿宋_GB2312"/>
              </w:rPr>
              <w:t>2、 付款条件说明： 中期服务开始时支付服务费 ，达到付款条件起 10 日内，支付合同总金额的 30.00%。</w:t>
            </w:r>
          </w:p>
          <w:p>
            <w:pPr>
              <w:pStyle w:val="null5"/>
              <w:jc w:val="both"/>
            </w:pPr>
            <w:r>
              <w:rPr>
                <w:rFonts w:ascii="仿宋_GB2312" w:hAnsi="仿宋_GB2312" w:cs="仿宋_GB2312" w:eastAsia="仿宋_GB2312"/>
                <w:sz w:val="21"/>
              </w:rPr>
              <w:t>3、 付款条件说明： 服务期满后付清剩余服务费 ，达到付款条件起 10 日内，支付合同总金额的 20.00%。</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验收要求：</w:t>
            </w:r>
            <w:r>
              <w:rPr>
                <w:rFonts w:ascii="仿宋_GB2312" w:hAnsi="仿宋_GB2312" w:cs="仿宋_GB2312" w:eastAsia="仿宋_GB2312"/>
              </w:rPr>
              <w:t>符合采购人、采购文件及相关行业标准要求。</w:t>
            </w:r>
          </w:p>
        </w:tc>
      </w:tr>
      <w:tr>
        <w:tc>
          <w:tcPr>
            <w:tcW w:type="dxa" w:w="2769"/>
          </w:tcP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sz w:val="21"/>
              </w:rPr>
              <w:t>1、</w:t>
            </w:r>
            <w:r>
              <w:rPr>
                <w:rFonts w:ascii="仿宋_GB2312" w:hAnsi="仿宋_GB2312" w:cs="仿宋_GB2312" w:eastAsia="仿宋_GB2312"/>
                <w:sz w:val="21"/>
                <w:color w:val="0000FF"/>
              </w:rPr>
              <w:t>采购人根据预算和实际情况，可根据内蒙古自治区财政厅关于全区统一集中采购目录及有关政策（</w:t>
            </w:r>
            <w:r>
              <w:rPr>
                <w:rFonts w:ascii="仿宋_GB2312" w:hAnsi="仿宋_GB2312" w:cs="仿宋_GB2312" w:eastAsia="仿宋_GB2312"/>
                <w:sz w:val="21"/>
                <w:color w:val="0000FF"/>
              </w:rPr>
              <w:t>2020年版）的补充通知要求进行续签；</w:t>
            </w:r>
          </w:p>
          <w:p>
            <w:pPr>
              <w:pStyle w:val="null5"/>
              <w:jc w:val="both"/>
            </w:pPr>
            <w:r>
              <w:rPr>
                <w:rFonts w:ascii="仿宋_GB2312" w:hAnsi="仿宋_GB2312" w:cs="仿宋_GB2312" w:eastAsia="仿宋_GB2312"/>
                <w:sz w:val="21"/>
              </w:rPr>
              <w:t>2、 投标报价注意事项：根据《政府采购货物和服务招标投标管理办法》中华人民共和国财政部令第87号令第六十条规定，评标委员会认为投标人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标的名称：购买创作及演出服务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640"/>
              <w:jc w:val="both"/>
            </w:pPr>
            <w:r>
              <w:rPr>
                <w:rFonts w:ascii="仿宋_GB2312" w:hAnsi="仿宋_GB2312" w:cs="仿宋_GB2312" w:eastAsia="仿宋_GB2312"/>
                <w:sz w:val="32"/>
              </w:rPr>
              <w:t>提供全年舞蹈创作服务，全年创作舞蹈类作品不少于</w:t>
            </w:r>
            <w:r>
              <w:rPr>
                <w:rFonts w:ascii="仿宋_GB2312" w:hAnsi="仿宋_GB2312" w:cs="仿宋_GB2312" w:eastAsia="仿宋_GB2312"/>
                <w:sz w:val="32"/>
              </w:rPr>
              <w:t>4部，创作人员应持有舞蹈编导专业相关证书。</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640"/>
              <w:jc w:val="both"/>
            </w:pPr>
            <w:r>
              <w:rPr>
                <w:rFonts w:ascii="仿宋_GB2312" w:hAnsi="仿宋_GB2312" w:cs="仿宋_GB2312" w:eastAsia="仿宋_GB2312"/>
                <w:sz w:val="32"/>
              </w:rPr>
              <w:t>表演服务：</w:t>
            </w:r>
          </w:p>
          <w:p>
            <w:pPr>
              <w:pStyle w:val="null5"/>
              <w:ind w:firstLine="640"/>
              <w:jc w:val="both"/>
            </w:pPr>
            <w:r>
              <w:rPr>
                <w:rFonts w:ascii="仿宋_GB2312" w:hAnsi="仿宋_GB2312" w:cs="仿宋_GB2312" w:eastAsia="仿宋_GB2312"/>
                <w:sz w:val="32"/>
              </w:rPr>
              <w:t>全年参与各类演出场次不少于</w:t>
            </w:r>
            <w:r>
              <w:rPr>
                <w:rFonts w:ascii="仿宋_GB2312" w:hAnsi="仿宋_GB2312" w:cs="仿宋_GB2312" w:eastAsia="仿宋_GB2312"/>
                <w:sz w:val="32"/>
              </w:rPr>
              <w:t>80场</w:t>
            </w:r>
            <w:r>
              <w:rPr>
                <w:rFonts w:ascii="仿宋_GB2312" w:hAnsi="仿宋_GB2312" w:cs="仿宋_GB2312" w:eastAsia="仿宋_GB2312"/>
                <w:sz w:val="32"/>
              </w:rPr>
              <w:t>（含对外文化交流演出）</w:t>
            </w:r>
            <w:r>
              <w:rPr>
                <w:rFonts w:ascii="仿宋_GB2312" w:hAnsi="仿宋_GB2312" w:cs="仿宋_GB2312" w:eastAsia="仿宋_GB2312"/>
                <w:sz w:val="32"/>
              </w:rPr>
              <w:t>，</w:t>
            </w:r>
            <w:r>
              <w:rPr>
                <w:rFonts w:ascii="仿宋_GB2312" w:hAnsi="仿宋_GB2312" w:cs="仿宋_GB2312" w:eastAsia="仿宋_GB2312"/>
                <w:sz w:val="32"/>
              </w:rPr>
              <w:t>其中提供演出服务中包含但不限于舞蹈、声乐、器乐、灯光等演出服务。其中提供舞蹈演出服务包含但不限于男性舞蹈演员</w:t>
            </w:r>
            <w:r>
              <w:rPr>
                <w:rFonts w:ascii="仿宋_GB2312" w:hAnsi="仿宋_GB2312" w:cs="仿宋_GB2312" w:eastAsia="仿宋_GB2312"/>
                <w:sz w:val="32"/>
              </w:rPr>
              <w:t>6名（身高1.78米及以上）；女性舞蹈演员7名（身高1.68米及以上）；提供声乐服务包含但不限于中音唱法；提供器乐演出服务包含但不限于爵士鼓、电贝司、扬琴等乐器表演服务；提供灯光舞美服务。以上提供服务人员应持有相关专业证书。</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numPr>
                <w:ilvl w:val="0"/>
                <w:numId w:val="1"/>
              </w:numPr>
              <w:jc w:val="both"/>
            </w:pPr>
            <w:r>
              <w:rPr>
                <w:rFonts w:ascii="仿宋_GB2312" w:hAnsi="仿宋_GB2312" w:cs="仿宋_GB2312" w:eastAsia="仿宋_GB2312"/>
                <w:sz w:val="32"/>
              </w:rPr>
              <w:t xml:space="preserve"> 财务服务：</w:t>
            </w:r>
          </w:p>
          <w:p>
            <w:pPr>
              <w:pStyle w:val="null5"/>
              <w:ind w:firstLine="640"/>
              <w:jc w:val="both"/>
            </w:pPr>
            <w:r>
              <w:rPr>
                <w:rFonts w:ascii="仿宋_GB2312" w:hAnsi="仿宋_GB2312" w:cs="仿宋_GB2312" w:eastAsia="仿宋_GB2312"/>
                <w:sz w:val="32"/>
              </w:rPr>
              <w:t>提供全年财务核算服务，提供财务服务人员应持有相关专业证书。</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具有良好的商业信誉和健全的财务会计制度;审查投标人2022年或2023年度经会计师事务所出具的财务审计报告或其基本开户银行出具的近一年内的银行资信证明。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有依法缴纳税收和社会保障 资金的良好记录:1.提供递交投标文件截止之日前一年内（至少一个月）的良好缴纳税收的相关凭据。（以税务机关提供的纳税凭据或银行入账单为准）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投标人应符合《中华人民共和国政府采购法》第二十二条规定的条件。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本项目的理解及现状分析</w:t>
            </w:r>
          </w:p>
        </w:tc>
        <w:tc>
          <w:tcPr>
            <w:tcW w:type="dxa" w:w="3115"/>
          </w:tcPr>
          <w:p>
            <w:pPr>
              <w:pStyle w:val="null5"/>
              <w:jc w:val="left"/>
            </w:pPr>
            <w:r>
              <w:rPr>
                <w:rFonts w:ascii="仿宋_GB2312" w:hAnsi="仿宋_GB2312" w:cs="仿宋_GB2312" w:eastAsia="仿宋_GB2312"/>
              </w:rPr>
              <w:t>根据供应商对本项目的理解及现状分析进行评审，内容包括但不限于项目背景理解、需求分析、对本项目现状的了解等。供应商提供的方案涵盖了上述全部内容，满足或优于项目要求，具体详实、符合实际、针对性强的得15分；供应商提供的方案涵盖了上述全部内容，小部分内容存在阐述不清晰或不合理或存在微小漏洞，但能满足项目要求的得12分；供应商提供的方案涵盖了上述大部分内容，部分内容存在阐述不清晰或不合理或存在微小漏洞，但能基本满足项目要求的得9分；供应商提供的方案仅涵盖了上述部分内容或存在影响项目实施的隐患的得6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项目实施方案进行评审，内容包括但不限于人员及设备配置、具体实施措施等。供应商提供的方案涵盖了上述全部内容，满足或优于项目要求，具体详实、符合实际、针对性强的得15分；供应商提供的方案涵盖了上述全部内容，小部分内容存在阐述不清晰或不合理或存在微小漏洞，但能满足项目要求的得12；供应商提供的方案涵盖了上述大部分内容，部分内容存在阐述不清晰或不合理或存在微小漏洞，但能基本满足项目要求的得9分；供应商提供的方案仅涵盖了上述部分内容或存在影响项目实施的隐患的得6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对供应商的服务保障质量方案进行评审，供应商具有详细的服务质量保障措施（包含服务质量保障方案、服务质量承诺、后勤保障计划等）情况进行综合评审，供应商提供的方案涵盖了上述全部内容,满足或优于项目要求，具体详实、符合实际、针对性强的得10分；供应商提供的方案涵盖了上述全部内容，小部分内容存在阐述不清晰或不合理或存在微小漏洞，但能基本满足项目要求的得7;供应商提供的方案仅涵盖了上述部分内容或存在影响项目实施的隐患的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拟派项目组的组织框架结构</w:t>
            </w:r>
          </w:p>
        </w:tc>
        <w:tc>
          <w:tcPr>
            <w:tcW w:type="dxa" w:w="3115"/>
          </w:tcPr>
          <w:p>
            <w:pPr>
              <w:pStyle w:val="null5"/>
              <w:jc w:val="left"/>
            </w:pPr>
            <w:r>
              <w:rPr>
                <w:rFonts w:ascii="仿宋_GB2312" w:hAnsi="仿宋_GB2312" w:cs="仿宋_GB2312" w:eastAsia="仿宋_GB2312"/>
              </w:rPr>
              <w:t>对供应商的拟派项目组的组织框架结构方案进行评审，人员职责分工、组织管理措施内容设定是否完善、科学、合理等情况进行综合评审，供应商提供的方案涵盖了上述全部内容,满足或优于项目要求，具体详实、符合实际、针对性强的得10分；供应商提供的方案涵盖了上述全部内容，小部分内容存在阐述不清晰或不合理或存在微小漏洞，但能基本满足项目要求的得7分;供应商提供的方案仅涵盖了上述部分内容或存在影响项目实施的隐患的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根据供应商提供的管理制度进行评审，内容包括但不限于人员管理制度、保密管理制度、档案管理制度等。 供应商提供的方案涵盖了上述全部内容, 满足或优于项目要求，具体详实、符合实际、针对性强的得10分；供应商提供的方案涵盖了上述全部内容，小部分内容存在阐述不清晰或不合理或存在微小漏洞，但能基本满足项目要求的得7分 ;供应商提供的方案仅涵盖了上述部分内容或存在影响项目实施的隐患的 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本项目的重、难点及解决方案</w:t>
            </w:r>
          </w:p>
        </w:tc>
        <w:tc>
          <w:tcPr>
            <w:tcW w:type="dxa" w:w="3115"/>
          </w:tcPr>
          <w:p>
            <w:pPr>
              <w:pStyle w:val="null5"/>
              <w:jc w:val="left"/>
            </w:pPr>
            <w:r>
              <w:rPr>
                <w:rFonts w:ascii="仿宋_GB2312" w:hAnsi="仿宋_GB2312" w:cs="仿宋_GB2312" w:eastAsia="仿宋_GB2312"/>
              </w:rPr>
              <w:t>根据供应商提供的针对本项目的重、难点及解决方案进行评审，内容包括但不限于对本项目的重点、难点的点评理解、有针对性的解决方案等。供应商提供的方案涵盖了上述全部内容，满足或优于项目要求，具体详实、符合实际、针对性强的得10分；供应商提供的方案涵盖了上述全部内容，小部分内容存在阐述不清晰或不合理或存在微小漏洞，但能基本满足项目要求的得7分；供应商提供的方案仅涵盖了上述部分内容或存在影响项目质量的隐患的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2021年1月1日至递交响应文件截止时间 (以合同签订时间为准) ，每有一项服务类项目的业绩得5分，最多得15分，须提供合同扫描件，合同金额、签章必须清晰，不清晰不予评分。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拟派项目负责人具有大专及以上文化程度，有相关服务的经验，有较强 的组织领导能力和协调能力；提供身份证、学历证明及2024年06月01日至今任意一个月社保证明材料得5分，最高得5分。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