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伊金霍洛旗空气质量综合提升行动方案</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伊金霍洛旗生态保护与发展协调服务中心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内蒙古忆源工程项目管理有限公司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ESZCYQS-C-F-250009</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内蒙古忆源工程项目管理有限公司</w:t>
      </w:r>
      <w:r>
        <w:rPr>
          <w:rFonts w:ascii="仿宋_GB2312" w:hAnsi="仿宋_GB2312" w:cs="仿宋_GB2312" w:eastAsia="仿宋_GB2312"/>
        </w:rPr>
        <w:t xml:space="preserve"> 受 </w:t>
      </w:r>
      <w:r>
        <w:rPr>
          <w:rFonts w:ascii="仿宋_GB2312" w:hAnsi="仿宋_GB2312" w:cs="仿宋_GB2312" w:eastAsia="仿宋_GB2312"/>
        </w:rPr>
        <w:t>伊金霍洛旗生态保护与发展协调服务中心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伊金霍洛旗空气质量综合提升行动方案</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伊金霍洛旗空气质量综合提升行动方案</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435[2025]00016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伊金霍洛旗空气质量综合提升行动方案</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内蒙古忆源工程项目管理有限公司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伊金霍洛旗电力街7#底商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贺女士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15598836887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伊金霍洛旗生态保护与发展协调服务中心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孟先生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15661747899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代理服务费收费标准：参考原内蒙古自治区工程建设协会印发的《内蒙古自治区建 设工程招标代理服务费收费指导意见》（内工建协【2022】34号）文件的规定收取招标代理服务费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伊金霍洛旗生态保护与发展协调服务中心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内蒙古忆源工程项目管理有限公司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（1）项目背景 伊金霍洛旗地处内蒙古自治区鄂尔多斯高原东南部，毛乌素沙地东北边缘，东与准格尔煤田相连，南与陕西省神木市接壤，且与市府所在地康巴什区隔河相连，是鄂尔多斯市“一市三区 ”城镇框架核心区之一。伊金霍洛旗煤炭资源量多、质好、易采，已查明煤炭资源储量约560亿吨，保有储量325亿吨，年产煤炭2亿吨，是全国第三大产煤县和国家重要的能源战略基地之一，也是内蒙古重要的清洁能源输出基地。 当前，伊金霍洛旗生态环境质量总体稳定，但部分区域环境问题依旧突出，诸如纳林陶亥镇周边矿区、物流园区及圣园产业园区空气质量深度改善缺乏科学系统的指导。为切实解决现存突出生态环境问题，着力强化统筹、科学规划，构建政府、企业、社会共同参与的生态环境治理新机制，计划开展伊金霍洛旗空气质量综合提升项目，推动伊金霍洛旗空气质量全面改善。 （2）项目目标 建立伊金霍洛旗大气污染源清单，针对主要污染物开展区域传输研究，评估外源性输入对重点区域主要污染物的贡献。有效识别伊金霍洛旗重点管控路段和重点工矿企业，通过编制伊金霍洛旗空气质量综合提升行动方案，为园区及周边矿区空气质量提升和环境管理提供科学依据和具体措施，实现纳林陶亥镇周边矿区及蒙苏经济开发区空气质量优良率提升至鄂尔多斯市考核要求。整体推动伊金霍洛旗在环境空气质量改善、污染物减排等生态环境治理体系方面得到质的提升，大气污染得到有效控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921"/>
              <w:gridCol w:w="1632"/>
            </w:tblGrid>
            <w:tr>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标的提供的时间</w:t>
                  </w:r>
                </w:p>
              </w:tc>
              <w:tc>
                <w:tcPr>
                  <w:tcW w:type="dxa" w:w="1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合同签订之日起一年</w:t>
                  </w:r>
                </w:p>
              </w:tc>
            </w:tr>
          </w:tbl>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921"/>
              <w:gridCol w:w="1632"/>
            </w:tblGrid>
            <w:tr>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标的提供的地点</w:t>
                  </w:r>
                </w:p>
              </w:tc>
              <w:tc>
                <w:tcPr>
                  <w:tcW w:type="dxa" w:w="1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伊金霍洛旗境内</w:t>
                  </w:r>
                </w:p>
              </w:tc>
            </w:tr>
          </w:tbl>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921"/>
              <w:gridCol w:w="1632"/>
            </w:tblGrid>
            <w:tr>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
                    <w:jc w:val="both"/>
                  </w:pPr>
                  <w:r>
                    <w:rPr>
                      <w:rFonts w:ascii="仿宋_GB2312" w:hAnsi="仿宋_GB2312" w:cs="仿宋_GB2312" w:eastAsia="仿宋_GB2312"/>
                      <w:sz w:val="24"/>
                    </w:rPr>
                    <w:t>付款方式</w:t>
                  </w:r>
                </w:p>
              </w:tc>
              <w:tc>
                <w:tcPr>
                  <w:tcW w:type="dxa" w:w="1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1期：支付比例100%，</w:t>
                  </w:r>
                  <w:r>
                    <w:rPr>
                      <w:rFonts w:ascii="仿宋_GB2312" w:hAnsi="仿宋_GB2312" w:cs="仿宋_GB2312" w:eastAsia="仿宋_GB2312"/>
                      <w:sz w:val="24"/>
                      <w:color w:val="000000"/>
                    </w:rPr>
                    <w:t>合同中约定</w:t>
                  </w:r>
                </w:p>
              </w:tc>
            </w:tr>
          </w:tbl>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921"/>
              <w:gridCol w:w="1632"/>
            </w:tblGrid>
            <w:tr>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验收要求</w:t>
                  </w:r>
                </w:p>
              </w:tc>
              <w:tc>
                <w:tcPr>
                  <w:tcW w:type="dxa" w:w="1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ind w:left="105"/>
                    <w:jc w:val="both"/>
                  </w:pPr>
                  <w:r>
                    <w:rPr>
                      <w:rFonts w:ascii="仿宋_GB2312" w:hAnsi="仿宋_GB2312" w:cs="仿宋_GB2312" w:eastAsia="仿宋_GB2312"/>
                      <w:sz w:val="24"/>
                    </w:rPr>
                    <w:t>1</w:t>
                  </w:r>
                  <w:r>
                    <w:rPr>
                      <w:rFonts w:ascii="仿宋_GB2312" w:hAnsi="仿宋_GB2312" w:cs="仿宋_GB2312" w:eastAsia="仿宋_GB2312"/>
                      <w:sz w:val="24"/>
                    </w:rPr>
                    <w:t>期：按采购人要求一次性验收</w:t>
                  </w:r>
                </w:p>
              </w:tc>
            </w:tr>
          </w:tbl>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921"/>
              <w:gridCol w:w="1632"/>
            </w:tblGrid>
            <w:tr>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履约保证金</w:t>
                  </w:r>
                </w:p>
              </w:tc>
              <w:tc>
                <w:tcPr>
                  <w:tcW w:type="dxa" w:w="1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05"/>
                    <w:jc w:val="both"/>
                  </w:pPr>
                  <w:r>
                    <w:rPr>
                      <w:rFonts w:ascii="仿宋_GB2312" w:hAnsi="仿宋_GB2312" w:cs="仿宋_GB2312" w:eastAsia="仿宋_GB2312"/>
                      <w:sz w:val="24"/>
                    </w:rPr>
                    <w:t>不收取</w:t>
                  </w:r>
                </w:p>
              </w:tc>
            </w:tr>
          </w:tbl>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标的名称：伊金霍洛旗空气质量综合提升行动方案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both"/>
            </w:pPr>
            <w:r>
              <w:rPr>
                <w:rFonts w:ascii="仿宋_GB2312" w:hAnsi="仿宋_GB2312" w:cs="仿宋_GB2312" w:eastAsia="仿宋_GB2312"/>
                <w:sz w:val="28"/>
              </w:rPr>
              <w:t>采购内容1</w:t>
            </w:r>
            <w:r>
              <w:rPr>
                <w:rFonts w:ascii="仿宋_GB2312" w:hAnsi="仿宋_GB2312" w:cs="仿宋_GB2312" w:eastAsia="仿宋_GB2312"/>
                <w:sz w:val="28"/>
              </w:rPr>
              <w:t>、伊金霍洛旗大气污染源排放清单</w:t>
            </w:r>
          </w:p>
          <w:p>
            <w:pPr>
              <w:pStyle w:val="null5"/>
              <w:ind w:firstLine="560"/>
              <w:jc w:val="both"/>
            </w:pPr>
            <w:r>
              <w:rPr>
                <w:rFonts w:ascii="仿宋_GB2312" w:hAnsi="仿宋_GB2312" w:cs="仿宋_GB2312" w:eastAsia="仿宋_GB2312"/>
                <w:sz w:val="28"/>
              </w:rPr>
              <w:t>根据生态环境部相关技术规范、源清单指南相关要求，建立完整的排放源分级分类体系，采用排放因子、物料衡算、统计分析方法，开展排放因子核定及活动水平调查，根据工业企业行业类别、工艺特点以及排污情况进行归类整理和分析，摸清主要大气污染物的排放特征、排放规律以及排放水平，编制伊金霍洛旗大气污染源排放清单，定量解析不同排放源主要污染物的贡献，按重要性依次对污染源进行排序，为制定大气污染控制对策和改善方案提供依据。</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firstLine="560"/>
              <w:jc w:val="both"/>
            </w:pPr>
            <w:r>
              <w:rPr>
                <w:rFonts w:ascii="仿宋_GB2312" w:hAnsi="仿宋_GB2312" w:cs="仿宋_GB2312" w:eastAsia="仿宋_GB2312"/>
                <w:sz w:val="28"/>
              </w:rPr>
              <w:t>采购内容2</w:t>
            </w:r>
            <w:r>
              <w:rPr>
                <w:rFonts w:ascii="仿宋_GB2312" w:hAnsi="仿宋_GB2312" w:cs="仿宋_GB2312" w:eastAsia="仿宋_GB2312"/>
                <w:sz w:val="28"/>
              </w:rPr>
              <w:t>、重点地区颗粒物区域传输研究</w:t>
            </w:r>
          </w:p>
          <w:p>
            <w:pPr>
              <w:pStyle w:val="null5"/>
              <w:ind w:firstLine="560"/>
              <w:jc w:val="both"/>
            </w:pPr>
            <w:r>
              <w:rPr>
                <w:rFonts w:ascii="仿宋_GB2312" w:hAnsi="仿宋_GB2312" w:cs="仿宋_GB2312" w:eastAsia="仿宋_GB2312"/>
                <w:sz w:val="28"/>
              </w:rPr>
              <w:t>基于受体点（如监测站点），利用后向轨迹模型，并结合聚类分析及潜在源贡献分析等方法，定性识别引起伊金霍洛旗重点地区大气颗粒物污染的主要传输通道和潜在贡献源区；基于受体点（如监测站点）颗粒物数据和气象数据，结合大气扩散和空气质量模型，定量识别周边地区对伊金霍洛旗大气颗粒物传输贡献。</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ind w:firstLine="560"/>
              <w:jc w:val="both"/>
            </w:pPr>
            <w:r>
              <w:rPr>
                <w:rFonts w:ascii="仿宋_GB2312" w:hAnsi="仿宋_GB2312" w:cs="仿宋_GB2312" w:eastAsia="仿宋_GB2312"/>
                <w:sz w:val="28"/>
              </w:rPr>
              <w:t>采购内容3</w:t>
            </w:r>
            <w:r>
              <w:rPr>
                <w:rFonts w:ascii="仿宋_GB2312" w:hAnsi="仿宋_GB2312" w:cs="仿宋_GB2312" w:eastAsia="仿宋_GB2312"/>
                <w:sz w:val="28"/>
              </w:rPr>
              <w:t>、伊金霍洛旗空气质量综合提升方案</w:t>
            </w:r>
          </w:p>
          <w:p>
            <w:pPr>
              <w:pStyle w:val="null5"/>
              <w:ind w:firstLine="560"/>
              <w:jc w:val="both"/>
            </w:pPr>
            <w:r>
              <w:rPr>
                <w:rFonts w:ascii="仿宋_GB2312" w:hAnsi="仿宋_GB2312" w:cs="仿宋_GB2312" w:eastAsia="仿宋_GB2312"/>
                <w:sz w:val="28"/>
              </w:rPr>
              <w:t>诊断影响伊金霍洛旗矿区空气质量改善的主要问题，明确大气污染控制方向和大气环境质量目标，从多方面进行减排潜力分析，开展达标差距分析，明确大气环境质量达标的关键问题和污染防治方向，从产业和能源结构调整、能效提高、大气污染治理的源头防治、过程控制、末端治理等角度，因地制宜地细化整治任务和措施，合理安排重点工作，提出空气质量改善落实的保证措施等，编写伊金霍洛旗空气质量综合提升行动方案。</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ind w:firstLine="560"/>
              <w:jc w:val="both"/>
            </w:pPr>
            <w:r>
              <w:rPr>
                <w:rFonts w:ascii="仿宋_GB2312" w:hAnsi="仿宋_GB2312" w:cs="仿宋_GB2312" w:eastAsia="仿宋_GB2312"/>
                <w:sz w:val="28"/>
              </w:rPr>
              <w:t xml:space="preserve">成果要求1. </w:t>
            </w:r>
            <w:r>
              <w:rPr>
                <w:rFonts w:ascii="仿宋_GB2312" w:hAnsi="仿宋_GB2312" w:cs="仿宋_GB2312" w:eastAsia="仿宋_GB2312"/>
                <w:sz w:val="28"/>
              </w:rPr>
              <w:t>编制《伊金霍洛旗大气污染源排放清单和区域传输研究报告》技术报告</w:t>
            </w:r>
            <w:r>
              <w:rPr>
                <w:rFonts w:ascii="仿宋_GB2312" w:hAnsi="仿宋_GB2312" w:cs="仿宋_GB2312" w:eastAsia="仿宋_GB2312"/>
                <w:sz w:val="28"/>
              </w:rPr>
              <w:t>1</w:t>
            </w:r>
            <w:r>
              <w:rPr>
                <w:rFonts w:ascii="仿宋_GB2312" w:hAnsi="仿宋_GB2312" w:cs="仿宋_GB2312" w:eastAsia="仿宋_GB2312"/>
                <w:sz w:val="28"/>
              </w:rPr>
              <w:t>份，通过专家评审并提交伊金霍洛旗分局备案；</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ind w:firstLine="200"/>
              <w:jc w:val="both"/>
            </w:pPr>
            <w:r>
              <w:rPr>
                <w:rFonts w:ascii="仿宋_GB2312" w:hAnsi="仿宋_GB2312" w:cs="仿宋_GB2312" w:eastAsia="仿宋_GB2312"/>
                <w:sz w:val="28"/>
              </w:rPr>
              <w:t xml:space="preserve">     成果要求2.</w:t>
            </w:r>
            <w:r>
              <w:rPr>
                <w:rFonts w:ascii="仿宋_GB2312" w:hAnsi="仿宋_GB2312" w:cs="仿宋_GB2312" w:eastAsia="仿宋_GB2312"/>
                <w:sz w:val="28"/>
              </w:rPr>
              <w:t>编制《伊金霍洛旗空气质量综合提升行动方案》，通过专家评审并提交伊金霍洛旗分局备案。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审查供应商2022年度或2023年度或2024年月度经会计师事务所出具的财务审计报告或其基本开户银行出具的近一年内（至递交响应文件截止时间近一年内）的银行资信证明。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1年内任意连续3个月的良好缴纳税收的相关凭据。（以税务机关提供的纳税凭据或银行入账单为准）2.提供递交响应文件截止之日前1年内任意连续3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对本项目的认识与问题诊断</w:t>
            </w:r>
          </w:p>
        </w:tc>
        <w:tc>
          <w:tcPr>
            <w:tcW w:type="dxa" w:w="3115"/>
          </w:tcPr>
          <w:p>
            <w:pPr>
              <w:pStyle w:val="null5"/>
              <w:jc w:val="left"/>
            </w:pPr>
            <w:r>
              <w:rPr>
                <w:rFonts w:ascii="仿宋_GB2312" w:hAnsi="仿宋_GB2312" w:cs="仿宋_GB2312" w:eastAsia="仿宋_GB2312"/>
              </w:rPr>
              <w:t>准确掌握本地区空气质量现状、面临形势及存在问题，制定科学合理的目标，以便有指导性地开展工作。 1.对现状和问题掌握准确，分析全面、目标合理，且叙述完整，为优，得15分（含）-20分（含）； 2.对现状和问题掌握较准确，分析较全面、目标较合理，且叙述较完整，为良，得10分（含）-15分（不含）； 3.对现状和问题掌握较少，分析不全面、目标不准确，叙述简略，为差，得0分（含）-10分（不含）。</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工作方案</w:t>
            </w:r>
          </w:p>
        </w:tc>
        <w:tc>
          <w:tcPr>
            <w:tcW w:type="dxa" w:w="3115"/>
          </w:tcPr>
          <w:p>
            <w:pPr>
              <w:pStyle w:val="null5"/>
              <w:jc w:val="left"/>
            </w:pPr>
            <w:r>
              <w:rPr>
                <w:rFonts w:ascii="仿宋_GB2312" w:hAnsi="仿宋_GB2312" w:cs="仿宋_GB2312" w:eastAsia="仿宋_GB2312"/>
              </w:rPr>
              <w:t>制定科学、合理、可操作性强的工作方案，指导本项目工作实施。 1.指导思想明确、工作程序合理、方法科学；对项目要求认识深刻，对项目目标理解充分，工作内容完整；工作方案针对性、可操作性与指导性强；方案编制符合规范、表述清晰、完整、严谨，为优，得20（含）-25分（含）； 2.指导思想基本明确、工作程序及方法基本可行；对项目要求认识较深刻，对项目目标理解较充分，工作内容较完整；工作方案针对性、可操作性与指导性一般；方案编制基本符合规范、表述较清晰、较完整，为良，得10（含）-20分（不含）； 3.指导思想、工作程序及方法有重大缺陷；对项目要求认识不足，工作内容不完整；工作方案针对性、可操作性与指导性弱；方案编制简单，为差，得0分（含）-10分（不含）。</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工作进度安排</w:t>
            </w:r>
          </w:p>
        </w:tc>
        <w:tc>
          <w:tcPr>
            <w:tcW w:type="dxa" w:w="3115"/>
          </w:tcPr>
          <w:p>
            <w:pPr>
              <w:pStyle w:val="null5"/>
              <w:jc w:val="left"/>
            </w:pPr>
            <w:r>
              <w:rPr>
                <w:rFonts w:ascii="仿宋_GB2312" w:hAnsi="仿宋_GB2312" w:cs="仿宋_GB2312" w:eastAsia="仿宋_GB2312"/>
              </w:rPr>
              <w:t>制定科学合理的工作进度安排，以保障项目顺利完成。 1.工作进度安排科学合理，进度控制目标、方法以及措施得当，满足项目进度要求，为优，得7分（含）-10分（含）； 2.工作进度安排较合理，进度控制目标、方法以及措施基本得当，基本满足项目进度要求，为良，得3分（含）-7分（不含）； 3.工作进度安排不合理，进度控制目标、方法以及措施不合理或无，不能满足项目进度要求，为差，得0分（含）-3分（不含）。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保障措施</w:t>
            </w:r>
          </w:p>
        </w:tc>
        <w:tc>
          <w:tcPr>
            <w:tcW w:type="dxa" w:w="3115"/>
          </w:tcPr>
          <w:p>
            <w:pPr>
              <w:pStyle w:val="null5"/>
              <w:jc w:val="left"/>
            </w:pPr>
            <w:r>
              <w:rPr>
                <w:rFonts w:ascii="仿宋_GB2312" w:hAnsi="仿宋_GB2312" w:cs="仿宋_GB2312" w:eastAsia="仿宋_GB2312"/>
              </w:rPr>
              <w:t>项目实施保障措施合理、有力，可有效保障项目工作实施。 1.管理机构设置合理，技术人员满足工作需求，经费测算合理，质量控制方案完整、详细且表述清晰，为优，得7分（含）-10分（含）； 2.管理机构设置基本合理，技术人员，经费测算较合理，基本满足工作需求，质量控制方案较完整，但表述不清晰或有缺陷，为良，得3分（含）-7分（不含）； 3.管理机构设置不合理，技术人员不能满足工作需求，经费测算不合理，质量控制方案有重大缺陷，为差，得0分（含）-3分（不含）。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1.具有环保相关专业的高级（包括正高、副高）职称得1分； 2. 近三年（2022年1月1日至今）担任过国家级项目的，每提供一个得1分；担任省（部）级项目的，每提供一个得0.5分，本项最多得2分。担任过的项目需为环境空气、大气污染或控制研究（含空气质量达标规划、大气污染物排放清单及来源解析或空气质量监测等）相关项目。响应文件中需提供合同或任务书扫描件并加盖供应商公章，未提供或内容模糊不清的不得分。 注：项目负责人必须在本单位工作，年龄不得超过55周岁，以投标人所属社保机构出具2024年6月至投标截止之日连续6个月或以上（新入职人员要求提供入职至投标截止日前）的社保缴费证明（并加盖缴费证明专用章）或其他能够证明参加社保的有效证明材料，新入职人员同时提供劳动合同；退休人员无需提供社保缴费证明，需提供有效的与聘用单位签订的聘用劳动合同及退休证明。响应文件中需提供职称证书扫描件。项目负责人业绩与供应商业绩不可以累加得分，当某一业绩同属于项目负责人和投标人时，优先以投标人业绩计取。</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1.项目组成人员中（项目负责人除外）具备10名及以上环保类专业高级职称得4分，5-9名（含5名）得2分；5名以下不得分。 2.具有生态建设和环境工程相关专业咨询工程师资格证书的，每有1名得1.5分，最高得3分，其余情况不得分。 注：响应文件须附上述证书扫描件，高级职称人员提供职称证书，咨询工程师提供资质证和登记证，未提供或内容模糊不清的不得分； 以上人员必须在本单位工作，以供应商所属社保机构出具的2024年6月至投标截止之日连续6个月或以上的社保缴费证明为准（须加盖缴费证明专用章）。新入职人员须提供入职至投标截止日前的社保缴费证明及与聘用单位签订的有效的聘用劳动合同；退休人员无需提供社保缴费证明，需提供与聘用单位签订的有效的聘用劳动合同及退休证明。</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具有近三年内（2022年1月1日至今，以合同签订日期为准）环境空气、大气污染或控制研究（含空气质量达标规划、大气污染物排放清单及来源解析或空气质量监测等）相关业绩，每提供1项得1分，最高得7分。 注：响应文件需提供合同原件扫描件，未提供或内容模糊不清的不得分。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供应商能力</w:t>
            </w:r>
          </w:p>
        </w:tc>
        <w:tc>
          <w:tcPr>
            <w:tcW w:type="dxa" w:w="3115"/>
          </w:tcPr>
          <w:p>
            <w:pPr>
              <w:pStyle w:val="null5"/>
              <w:jc w:val="left"/>
            </w:pPr>
            <w:r>
              <w:rPr>
                <w:rFonts w:ascii="仿宋_GB2312" w:hAnsi="仿宋_GB2312" w:cs="仿宋_GB2312" w:eastAsia="仿宋_GB2312"/>
              </w:rPr>
              <w:t>1、具有实验室认可证书CNAS，得1分； 2、具有省部级及以上计量认证证书CMA，得1分； 3、具有省部级及以上环境空气、大气污染或控制研究相关领域重点实验室或工程实验室，每具有一个1分，最多得2分。 注：响应文件需提供有效期内的CNAS、CMA证书以及实验室的证明材料，未提供或内容模糊不清的不得分。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供应商荣誉</w:t>
            </w:r>
          </w:p>
        </w:tc>
        <w:tc>
          <w:tcPr>
            <w:tcW w:type="dxa" w:w="3115"/>
          </w:tcPr>
          <w:p>
            <w:pPr>
              <w:pStyle w:val="null5"/>
              <w:jc w:val="left"/>
            </w:pPr>
            <w:r>
              <w:rPr>
                <w:rFonts w:ascii="仿宋_GB2312" w:hAnsi="仿宋_GB2312" w:cs="仿宋_GB2312" w:eastAsia="仿宋_GB2312"/>
              </w:rPr>
              <w:t>供应商近年(2022年1月1日至今，以获奖证书时间为准)的获奖情况:以第一完成单位获得省部级及以上奖项，每提供1项得1.5分，本项最多得3分。所获奖项应与环境空气、大气污染或控制研究等领域相关。 注:响应文件中应提供相关获奖证书原件扫描件，如获奖证书无法体现第一完成单位的，应提供其它以第一完成单位获奖的证明材料，未提供或内容模糊不清的不得分。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体系与信用认证</w:t>
            </w:r>
          </w:p>
        </w:tc>
        <w:tc>
          <w:tcPr>
            <w:tcW w:type="dxa" w:w="3115"/>
          </w:tcPr>
          <w:p>
            <w:pPr>
              <w:pStyle w:val="null5"/>
              <w:jc w:val="left"/>
            </w:pPr>
            <w:r>
              <w:rPr>
                <w:rFonts w:ascii="仿宋_GB2312" w:hAnsi="仿宋_GB2312" w:cs="仿宋_GB2312" w:eastAsia="仿宋_GB2312"/>
              </w:rPr>
              <w:t>投标人同时具有有效期内的质量管理体系认证证书、环境管理体系认证证书、职业健康安全管理体系认证证书得1分，缺任意一项不得分。 注：响应文件须附上述有效期内的证书扫描件，未提供或内容模糊不清的不得分。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