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2025年政府购买服务项目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伊金霍洛旗政务服务与数据管理局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内蒙古道驰项目管理有限责任公司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ESZCYQS-C-F-250012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内蒙古道驰项目管理有限责任公司</w:t>
      </w:r>
      <w:r>
        <w:rPr>
          <w:rFonts w:ascii="仿宋_GB2312" w:hAnsi="仿宋_GB2312" w:cs="仿宋_GB2312" w:eastAsia="仿宋_GB2312"/>
        </w:rPr>
        <w:t xml:space="preserve"> 受 </w:t>
      </w:r>
      <w:r>
        <w:rPr>
          <w:rFonts w:ascii="仿宋_GB2312" w:hAnsi="仿宋_GB2312" w:cs="仿宋_GB2312" w:eastAsia="仿宋_GB2312"/>
        </w:rPr>
        <w:t>伊金霍洛旗政务服务与数据管理局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2025年政府购买服务项目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2025年政府购买服务项目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435[2025]00020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2,127,500.00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公共服务事项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2,127,500.00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1,737,500.00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公共服务事项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1,737,500.00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内蒙古道驰项目管理有限责任公司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内蒙古鄂尔多斯市康巴什区建银大厦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徐叶叶</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15540880874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伊金霍洛旗政务服务与数据管理局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蒋彦龙</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8581566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代理服务费收费标准：以中标金额的1.5%计取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伊金霍洛旗政务服务与数据管理局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内蒙古道驰项目管理有限责任公司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为进一步深化改革，按照依法行政、规范服务、提升效率的要求，形成规范统一的业务受理标准、礼仪形象标准、大厅运营标准和政务服务品牌，提高政府治理的效率和治理水平，提高城乡居民的获得感、幸福感、安全感，推进岗位设置、队伍培养、长效运营等工作。按照《鄂尔多斯市政府向社会力量购买服务流程规范》要求,制定本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自合同签订之日起至2025年12月31日（服务期三年，合同一年一签）日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1、签订合同后，达到付款条件起1日，支付合同总金额的60.00%</w:t>
            </w:r>
          </w:p>
          <w:p>
            <w:pPr>
              <w:pStyle w:val="null5"/>
              <w:jc w:val="left"/>
            </w:pPr>
            <w:r>
              <w:rPr>
                <w:rFonts w:ascii="仿宋_GB2312" w:hAnsi="仿宋_GB2312" w:cs="仿宋_GB2312" w:eastAsia="仿宋_GB2312"/>
              </w:rPr>
              <w:t>2、中期服务开始时，达到付款条件起1日，支付合同总金额的30.00%</w:t>
            </w:r>
          </w:p>
          <w:p>
            <w:pPr>
              <w:pStyle w:val="null5"/>
              <w:jc w:val="left"/>
            </w:pPr>
            <w:r>
              <w:rPr>
                <w:rFonts w:ascii="仿宋_GB2312" w:hAnsi="仿宋_GB2312" w:cs="仿宋_GB2312" w:eastAsia="仿宋_GB2312"/>
              </w:rPr>
              <w:t>3、服务期满验收合格后，达到付款条件起1日，支付合同总金额的10.00%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自合同签订之日起至2025年12月31日（服务期三年，合同一年一签）日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1、签订合同后，达到付款条件起1日，支付合同总金额的60.00%</w:t>
            </w:r>
          </w:p>
          <w:p>
            <w:pPr>
              <w:pStyle w:val="null5"/>
              <w:jc w:val="left"/>
            </w:pPr>
            <w:r>
              <w:rPr>
                <w:rFonts w:ascii="仿宋_GB2312" w:hAnsi="仿宋_GB2312" w:cs="仿宋_GB2312" w:eastAsia="仿宋_GB2312"/>
              </w:rPr>
              <w:t>2、中期服务开始时，达到付款条件起1日，支付合同总金额的30.00%</w:t>
            </w:r>
          </w:p>
          <w:p>
            <w:pPr>
              <w:pStyle w:val="null5"/>
              <w:jc w:val="left"/>
            </w:pPr>
            <w:r>
              <w:rPr>
                <w:rFonts w:ascii="仿宋_GB2312" w:hAnsi="仿宋_GB2312" w:cs="仿宋_GB2312" w:eastAsia="仿宋_GB2312"/>
              </w:rPr>
              <w:t>3、服务期满验收合格后，达到付款条件起1日，支付合同总金额的10.00%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标的名称：公共服务事项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       负责保障伊金霍洛旗级“综合一窗”、“一件事一次办”、“全区通办”“跨省、市、区”通办、业务的受理服务、材料流转服务、统一出件服务。负责开展“事项梳理”、办事指南梳理、更新工作。开展旗级重大项目“帮办代办”工作，针对老弱病残孕等不方便办理业务的群体提供帮办代办服务，负责旗政务服务大厅的咨询导引服务。</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 xml:space="preserve">       1、“一件事”套餐服务：开展161件“一件事”主题服务；“综合一窗”日均办件110件；将企业和群众需要办理的审批服务事项，特别是需到多个部门、需经多个环节办理的事项，经过环节整合、流程优化，变成企业和群众眼中的“ 一件事”套餐服务，实行“一次告知、一表申报、 一窗受理、一次办成”，线上“一次登录、一网通办”，线下“只进一扇门、最多跑一次”，逐步实现从部门审批“一个事项”转变为服务企业群众“ 一件事”办理，从企业和群众办事到每个政务服务机构“最多跑一次”转变为“一件事最多跑一次”。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 xml:space="preserve">       2、异地互办互认、帮办代办服务：开展跨省通办事项233项；标准化精细化梳理“一件事”“跨省通办”等事项清单服务；为了解决企业和群众异地办事需要，按照国家、自治区的要求，充分发挥国家政务服务平台统一身份认证，统一服务，统一数据共享公共支撑用，开展“呼包鄂乌”四市通办、跨省通办、全市通办及帮办代办服务。</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 xml:space="preserve">       3.咨询导办服务：引导咨询帮办日均服务群众1000人次。主要承担各类政务服务事项的政策咨询、结果查询、接待服务、发放告知单，分析办理事项。通过排队叫号系统或电话（网络）咨询引导办事人员到综合受理区办理或准备相关资料，做好电话接听和网上咨询建议回复工作。</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标的名称：公共服务事项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       负责用于接诉即办签收、派发日均37件电话沟通50余次；审核延期、挂单、不计入考核、三级终审、退单审核日均20件；督办日均16件需拨打电话30余次；回访日均40件，需拨打电话100余次；知识库上传日均40件；人民网留言和中国政府网留言办理；旗长信箱、一体化平台管理、数据分析研判汇总。</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 xml:space="preserve">       推进群众、企业诉求快速响应、高效办理、及时反馈和主动治理，打通服务便民“最后一公里”。推动政务服务减环节、减证明、减时间、减跑腿，充分彰显务实高效的政务服务速度。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 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审查投标人2022年度或2023年度经会计师事务所出具的财务审计报告或其基本开户银行出具的近一年内的银行资信证明。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项目需求理解及服务方案</w:t>
            </w:r>
          </w:p>
        </w:tc>
        <w:tc>
          <w:tcPr>
            <w:tcW w:type="dxa" w:w="3115"/>
          </w:tcPr>
          <w:p>
            <w:pPr>
              <w:pStyle w:val="null5"/>
              <w:jc w:val="left"/>
            </w:pPr>
            <w:r>
              <w:rPr>
                <w:rFonts w:ascii="仿宋_GB2312" w:hAnsi="仿宋_GB2312" w:cs="仿宋_GB2312" w:eastAsia="仿宋_GB2312"/>
              </w:rPr>
              <w:t>项目需求理解及服务编制方案全面、合理、可行等内容进行评审。方案内容科学可行、 详细完整、非常合理的得11-14分，方案内容基本完整、基本合理的得6-10分，方案内 容不完整、不合理的得1-5分。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根据项目实际情况资源配备、职责分工是否合理、明确、可行等内容进行评审，详细完 整、非常合理的得8-10分，内容基本完整、基本合理的得4-7分，内容不完整、不合理的 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正确识别本项目重点难点，分析全面具体透彻，解决对策针对性强的得8-10分；重点难 点分析较全面，但不够具体和透彻，解决对策较合理可行的得4-7分；重难点分析及解 技术评审决方案不全面、不合理的得1-3分。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根据项目实际情况编制应急预案，方案全面、合理、先进、可行等内容进行评审。方案 全面合理、科学可行、详细完整的得8-10分, 方案基本完整基本合理的得4-7分，方案 不完整、不合理的得1-3分。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管理制度建设</w:t>
            </w:r>
          </w:p>
        </w:tc>
        <w:tc>
          <w:tcPr>
            <w:tcW w:type="dxa" w:w="3115"/>
          </w:tcPr>
          <w:p>
            <w:pPr>
              <w:pStyle w:val="null5"/>
              <w:jc w:val="left"/>
            </w:pPr>
            <w:r>
              <w:rPr>
                <w:rFonts w:ascii="仿宋_GB2312" w:hAnsi="仿宋_GB2312" w:cs="仿宋_GB2312" w:eastAsia="仿宋_GB2312"/>
              </w:rPr>
              <w:t>针对本项目的情况及特点，有严格、健全的内部管理制度，包括但不限于人力资源管理、财务管理、物资管理、安全管理详细完整的得8-10分，方案基本完整、基本合理的得 4-7分，方案不完整、不合理的得1-3分。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质量管理体与措施</w:t>
            </w:r>
          </w:p>
        </w:tc>
        <w:tc>
          <w:tcPr>
            <w:tcW w:type="dxa" w:w="3115"/>
          </w:tcPr>
          <w:p>
            <w:pPr>
              <w:pStyle w:val="null5"/>
              <w:jc w:val="left"/>
            </w:pPr>
            <w:r>
              <w:rPr>
                <w:rFonts w:ascii="仿宋_GB2312" w:hAnsi="仿宋_GB2312" w:cs="仿宋_GB2312" w:eastAsia="仿宋_GB2312"/>
              </w:rPr>
              <w:t>提供项目服务质量管理体系与措施全面且严密可行的得4-6分，有相关内容，但是不全 面不完善的，视其情况得1-3分。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供应商近三年(2022年1月至今)具有与本项目服务要求相同或类似服务项目业绩，每有 一项得5分最高得15分。(类似服务项目业绩指:劳务服务或人力资源服务、辅助性服务或 政府购买服务，须提供合同原件扫描件.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拟安排的项目管理人员</w:t>
            </w:r>
          </w:p>
        </w:tc>
        <w:tc>
          <w:tcPr>
            <w:tcW w:type="dxa" w:w="3115"/>
          </w:tcPr>
          <w:p>
            <w:pPr>
              <w:pStyle w:val="null5"/>
              <w:jc w:val="left"/>
            </w:pPr>
            <w:r>
              <w:rPr>
                <w:rFonts w:ascii="仿宋_GB2312" w:hAnsi="仿宋_GB2312" w:cs="仿宋_GB2312" w:eastAsia="仿宋_GB2312"/>
              </w:rPr>
              <w:t>(1)拟派项目管理人员每提供1人得3分，最 高得6分。(2)拟派项目管理人员具有大专及 以上文化程度，有相关服务的经验，有较强 的组织领导能力和协调能力，年龄55周岁以 下;每提供1个人的身份证、学历证明、简历 证明及与本单位签订的劳动合同得3分，最 高得6分。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社会组织等级评估</w:t>
            </w:r>
          </w:p>
        </w:tc>
        <w:tc>
          <w:tcPr>
            <w:tcW w:type="dxa" w:w="3115"/>
          </w:tcPr>
          <w:p>
            <w:pPr>
              <w:pStyle w:val="null5"/>
              <w:jc w:val="left"/>
            </w:pPr>
            <w:r>
              <w:rPr>
                <w:rFonts w:ascii="仿宋_GB2312" w:hAnsi="仿宋_GB2312" w:cs="仿宋_GB2312" w:eastAsia="仿宋_GB2312"/>
              </w:rPr>
              <w:t>社会力量参加过民政部门组织的社会组织等级评估的，评估结果在3A级以上(含3A级)得 3分，3A级以下等级和未开展社会组织等级 评估地区的社会组织得 1分，未获得等级和 主管部门已经开展但是社会力量没有参加等 级评估的不得分。(提供等级评估证书复印件 加盖公章，不提供不予评分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项目需求理解及服方案</w:t>
            </w:r>
          </w:p>
        </w:tc>
        <w:tc>
          <w:tcPr>
            <w:tcW w:type="dxa" w:w="3115"/>
          </w:tcPr>
          <w:p>
            <w:pPr>
              <w:pStyle w:val="null5"/>
              <w:jc w:val="left"/>
            </w:pPr>
            <w:r>
              <w:rPr>
                <w:rFonts w:ascii="仿宋_GB2312" w:hAnsi="仿宋_GB2312" w:cs="仿宋_GB2312" w:eastAsia="仿宋_GB2312"/>
              </w:rPr>
              <w:t>项目需求理解及服务编制方案全面、合理、可行等内容进行评审。方案内容科学可行、 详细完整、非常合理的得11-14分，方案内容基本完整、基本合理的得6-10分，方案内 容不完整、不合理的得1-5分。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资配备计划</w:t>
            </w:r>
          </w:p>
        </w:tc>
        <w:tc>
          <w:tcPr>
            <w:tcW w:type="dxa" w:w="3115"/>
          </w:tcPr>
          <w:p>
            <w:pPr>
              <w:pStyle w:val="null5"/>
              <w:jc w:val="left"/>
            </w:pPr>
            <w:r>
              <w:rPr>
                <w:rFonts w:ascii="仿宋_GB2312" w:hAnsi="仿宋_GB2312" w:cs="仿宋_GB2312" w:eastAsia="仿宋_GB2312"/>
              </w:rPr>
              <w:t>根据项目实际情况资源配备、职责分工是否合理、明确、可行等内容进行评审，详细完 整、非常合理的得8-10分，内容基本完整、 基本合理的得4-7分，内容不完整、不合理的 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重点、难点分析及解决方案</w:t>
            </w:r>
          </w:p>
        </w:tc>
        <w:tc>
          <w:tcPr>
            <w:tcW w:type="dxa" w:w="3115"/>
          </w:tcPr>
          <w:p>
            <w:pPr>
              <w:pStyle w:val="null5"/>
              <w:jc w:val="left"/>
            </w:pPr>
            <w:r>
              <w:rPr>
                <w:rFonts w:ascii="仿宋_GB2312" w:hAnsi="仿宋_GB2312" w:cs="仿宋_GB2312" w:eastAsia="仿宋_GB2312"/>
              </w:rPr>
              <w:t>正确识别本项目重点难点，分析全面具体透彻，解决对策针对性强的得8-10分:重点难点 分析较全面，但不够具体和透彻，解决对策 较合理可行的得4-7分;重难点分析及解决方案不全面、不合理的得1-3分。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根据项目实际情况编制应急预案，方案全面 、合理、先进、可行等内容进行评审。方案全面合理、科学可行、详细完整的得8-10分 , 方案基本完整基本合理的得4-7分，方案不完整、不合理的得1-3分.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管理制度建设</w:t>
            </w:r>
          </w:p>
        </w:tc>
        <w:tc>
          <w:tcPr>
            <w:tcW w:type="dxa" w:w="3115"/>
          </w:tcPr>
          <w:p>
            <w:pPr>
              <w:pStyle w:val="null5"/>
              <w:jc w:val="left"/>
            </w:pPr>
            <w:r>
              <w:rPr>
                <w:rFonts w:ascii="仿宋_GB2312" w:hAnsi="仿宋_GB2312" w:cs="仿宋_GB2312" w:eastAsia="仿宋_GB2312"/>
              </w:rPr>
              <w:t>针对本项目的情况及特点，有严格、健全的企业内部管理制度，包括但不限于人力资源管理、财务管理、物资管理、安全管理详细完整的得8-10分；方案基本完整、基本合理的得4-7分，方案不完整、不合理的得1-3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质量管理体与措施</w:t>
            </w:r>
          </w:p>
        </w:tc>
        <w:tc>
          <w:tcPr>
            <w:tcW w:type="dxa" w:w="3115"/>
          </w:tcPr>
          <w:p>
            <w:pPr>
              <w:pStyle w:val="null5"/>
              <w:jc w:val="left"/>
            </w:pPr>
            <w:r>
              <w:rPr>
                <w:rFonts w:ascii="仿宋_GB2312" w:hAnsi="仿宋_GB2312" w:cs="仿宋_GB2312" w:eastAsia="仿宋_GB2312"/>
              </w:rPr>
              <w:t>提供项目服务质量管理体系与措施全面且严 密可行的得4-6分，有相关内容，但是不全面不完善的，视其情况得1-3分。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供应商近三年(2022年1月至今)具有与本项 目服务要求相同或类似服务项目业绩，每有 一项得5分最高得15分。(类似服务项目业绩指:劳务服务或人力资源服务、辅助性服务或政府购买服务，须提供合同原件扫描件）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(1)拟派项目管理人员每提供1人得4分，最高得8分。(2)拟派项目管理人员具有大专及以上文化程度，有相关服务的经验，有较强的组织领导能力和协调能力，年龄55周岁以 下:每提供1个人的身份证、学历证明简历证明及与本单位签订的劳动合同得3.5分，最高得7分。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