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平安伊金霍洛”（二期）机房、光缆传输线路管道运维项目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伊金霍洛旗大数据中心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内蒙古锐德工程咨询有限公司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ESZCYQS-C-F-250013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内蒙古锐德工程咨询有限公司</w:t>
      </w:r>
      <w:r>
        <w:rPr>
          <w:rFonts w:ascii="仿宋_GB2312" w:hAnsi="仿宋_GB2312" w:cs="仿宋_GB2312" w:eastAsia="仿宋_GB2312"/>
        </w:rPr>
        <w:t xml:space="preserve"> 受 </w:t>
      </w:r>
      <w:r>
        <w:rPr>
          <w:rFonts w:ascii="仿宋_GB2312" w:hAnsi="仿宋_GB2312" w:cs="仿宋_GB2312" w:eastAsia="仿宋_GB2312"/>
        </w:rPr>
        <w:t>伊金霍洛旗大数据中心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平安伊金霍洛”（二期）机房、光缆传输线路管道运维项目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平安伊金霍洛”（二期）机房、光缆传输线路管道运维项目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ESZCYQS-C-F-250013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435[2025]00022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平安伊金霍洛”（二期）机房、光缆传输线路管道运维项目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内蒙古锐德工程咨询有限公司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伊金霍洛旗水岸金钻东塔2101A</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温女士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18747793656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伊金霍洛旗大数据中心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韩强</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13754171277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代理服务费收费标准：参照内工建协2022（34）号文件规定计取，代理服务费已包含在采购预算中。</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伊金霍洛旗大数据中心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内蒙古锐德工程咨询有限公司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对平安伊金霍洛”（二期）机房、光缆传输线路管道运维</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合同签订后1年</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鄂尔多斯市伊金霍洛旗（具体以采购人要求为准）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1、合同签订后30日历天内，达到付款条件起10日，支付合同总金额的60.00%</w:t>
            </w:r>
          </w:p>
          <w:p>
            <w:pPr>
              <w:pStyle w:val="null5"/>
              <w:jc w:val="left"/>
            </w:pPr>
            <w:r>
              <w:rPr>
                <w:rFonts w:ascii="仿宋_GB2312" w:hAnsi="仿宋_GB2312" w:cs="仿宋_GB2312" w:eastAsia="仿宋_GB2312"/>
              </w:rPr>
              <w:t>2、服务期中期维护6个月后，达到付款条件起10日，支付合同总金额的30.00%</w:t>
            </w:r>
          </w:p>
          <w:p>
            <w:pPr>
              <w:pStyle w:val="null5"/>
              <w:jc w:val="left"/>
            </w:pPr>
            <w:r>
              <w:rPr>
                <w:rFonts w:ascii="仿宋_GB2312" w:hAnsi="仿宋_GB2312" w:cs="仿宋_GB2312" w:eastAsia="仿宋_GB2312"/>
              </w:rPr>
              <w:t>3、2025年12月20日前支付，达到付款条件起10日，支付合同总金额的10.00%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报价注意事项：根据《政府采购货物和服务招标投标管理办法》中华人民共和国财政部令第87号令第六十条规定，评标委员会认为投标人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标的名称：平安伊金霍洛”（二期）机房、光缆传输线路管道运维项目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运维服务范围：平安伊金霍洛城域网二期项目主干光缆600余公里及接入城域网部分行政、事业单位链路，通信数据机房16个及机房内数通设备、传输设备、UPS电源、空调、照明等其他附属设施。</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机房环境要求：</w:t>
            </w:r>
            <w:r>
              <w:br/>
            </w:r>
            <w:r>
              <w:rPr>
                <w:rFonts w:ascii="仿宋_GB2312" w:hAnsi="仿宋_GB2312" w:cs="仿宋_GB2312" w:eastAsia="仿宋_GB2312"/>
              </w:rPr>
              <w:t xml:space="preserve"> 定期打扫机房卫生保持机房内环境整洁</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机房内设备要求：定期为机房各种设备做除尘清理，检查交换机、波峰设备、动环设备、OLT传输设备端口板卡连接正确、稳定。</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机房内供电设备要求：定期对UPS进行一次巡检，确认控制操作面板的运行状态，包括各项显示单元和电源参数等。同时，检查各信号灯是否正常工作，记录UPS的电压、电流值，如发现任何问题应及时处理，除了日常巡检外，还需要进行定期的维护项目，包括测量并记录电池充电电压、电池充电电流、UPS三相输出电压、UPS输出线电流等。</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机房照明设备要求：定期巡检机房内照明设备是否正常，发现故障及时处理维修与跟换并记录。</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机房空调设备要求：每季度对机房空调设备进行清洁保养，包括清洗过滤网、冷凝器、蒸发器等部件，如有需要更换滤网；每年定期对空调制冷系统进行一次全面检查，若有缺少就加入一次氟。</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机房设备故障要求：确保设备在突发事故，影响本项目服务网正常运作情况下，可及时得到设备生产厂家或供应商的产品维修和技术支持，并快速解决故障。</w:t>
            </w:r>
          </w:p>
        </w:tc>
      </w:tr>
      <w:tr>
        <w:tc>
          <w:tcPr>
            <w:tcW w:type="dxa" w:w="2769"/>
          </w:tcPr>
          <w:p>
            <w:pPr>
              <w:pStyle w:val="null5"/>
              <w:jc w:val="left"/>
            </w:pPr>
            <w:r>
              <w:rPr>
                <w:rFonts w:ascii="仿宋_GB2312" w:hAnsi="仿宋_GB2312" w:cs="仿宋_GB2312" w:eastAsia="仿宋_GB2312"/>
              </w:rPr>
              <w:t>8</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机房消防设备要求：</w:t>
            </w:r>
            <w:r>
              <w:br/>
            </w:r>
            <w:r>
              <w:rPr>
                <w:rFonts w:ascii="仿宋_GB2312" w:hAnsi="仿宋_GB2312" w:cs="仿宋_GB2312" w:eastAsia="仿宋_GB2312"/>
              </w:rPr>
              <w:t xml:space="preserve"> 定期检查消防灭火器是否完好，每年更换各乡镇机房灭火器。</w:t>
            </w:r>
          </w:p>
        </w:tc>
      </w:tr>
      <w:tr>
        <w:tc>
          <w:tcPr>
            <w:tcW w:type="dxa" w:w="2769"/>
          </w:tcPr>
          <w:p>
            <w:pPr>
              <w:pStyle w:val="null5"/>
              <w:jc w:val="left"/>
            </w:pPr>
            <w:r>
              <w:rPr>
                <w:rFonts w:ascii="仿宋_GB2312" w:hAnsi="仿宋_GB2312" w:cs="仿宋_GB2312" w:eastAsia="仿宋_GB2312"/>
              </w:rPr>
              <w:t>9</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机房门禁设备要求：</w:t>
            </w:r>
            <w:r>
              <w:br/>
            </w:r>
            <w:r>
              <w:rPr>
                <w:rFonts w:ascii="仿宋_GB2312" w:hAnsi="仿宋_GB2312" w:cs="仿宋_GB2312" w:eastAsia="仿宋_GB2312"/>
              </w:rPr>
              <w:t xml:space="preserve"> 定期巡检机房门禁设备电源工作状态及时更换电池，发现门禁设备与门出现损坏及时维修更换并记录。</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负责项目地区接入政务城域网的旗直部门互联网、电子政务外网、视频专网等地址分配、管理维护工作，建立管理文档；负责互联网、电子政务外网、视频专网等网络安全及维护，包含认证网闸、防火墙、态势感知等</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机房光纤配线架维护要求：</w:t>
            </w:r>
            <w:r>
              <w:br/>
            </w:r>
            <w:r>
              <w:rPr>
                <w:rFonts w:ascii="仿宋_GB2312" w:hAnsi="仿宋_GB2312" w:cs="仿宋_GB2312" w:eastAsia="仿宋_GB2312"/>
              </w:rPr>
              <w:t xml:space="preserve"> 定期巡检清理灰尘，检查防尘帽是否齐全，光纤跳线标签是否齐全，检查整理进入的光缆、电缆光纤跳线绑扎整齐美观。</w:t>
            </w:r>
          </w:p>
        </w:tc>
      </w:tr>
      <w:tr>
        <w:tc>
          <w:tcPr>
            <w:tcW w:type="dxa" w:w="2769"/>
          </w:tcPr>
          <w:p>
            <w:pPr>
              <w:pStyle w:val="null5"/>
              <w:jc w:val="left"/>
            </w:pPr>
            <w:r>
              <w:rPr>
                <w:rFonts w:ascii="仿宋_GB2312" w:hAnsi="仿宋_GB2312" w:cs="仿宋_GB2312" w:eastAsia="仿宋_GB2312"/>
              </w:rPr>
              <w:t>12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驻场人员要求：</w:t>
            </w:r>
            <w:r>
              <w:br/>
            </w:r>
            <w:r>
              <w:rPr>
                <w:rFonts w:ascii="仿宋_GB2312" w:hAnsi="仿宋_GB2312" w:cs="仿宋_GB2312" w:eastAsia="仿宋_GB2312"/>
              </w:rPr>
              <w:t xml:space="preserve"> 驻场技术人员必须配备不少于2人，其中一名需要持有国家认可的IT服务工程师。驻场技术人员应努力做到认真负责、熟悉业务、文明礼貌，遵守大数据中心制定的值班规定和文明准则,配备相应的网络维护工具及车辆；所有重要操作应事先征得甲方的认可，对系统进行变更应提交相应记录和图纸。严格管理进出机房人员，有人员需要进出机房时需记录进出人员的信息并汇报上级部门领导， 按照大数据管理部门要求做好维护记录。配合网信、公安、保密机要、国安等其他部门做好网络安全相关工作；各网络设备、安全设备厂商、电信运营商、网络安全专家的协调对接工作；运维人员执行5*8小时常值班制度，下班时间及节假日提供7*24小时电话服务，必要时2小时到达现场；确保机房环境安全，设备运行稳定，并据实填写《值班记录表》，记录包括但不限于各个机房环境、设备运行情况、事件处理情况等内容提供完整、规范且符合实际情况的《运维人员管理制度》，包括但不限于值班制度、考勤制度、奖惩制度、安全保密制度等；</w:t>
            </w:r>
          </w:p>
        </w:tc>
      </w:tr>
      <w:tr>
        <w:tc>
          <w:tcPr>
            <w:tcW w:type="dxa" w:w="2769"/>
          </w:tcPr>
          <w:p>
            <w:pPr>
              <w:pStyle w:val="null5"/>
              <w:jc w:val="left"/>
            </w:pPr>
            <w:r>
              <w:rPr>
                <w:rFonts w:ascii="仿宋_GB2312" w:hAnsi="仿宋_GB2312" w:cs="仿宋_GB2312" w:eastAsia="仿宋_GB2312"/>
              </w:rPr>
              <w:t>13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通信机房运维范围：1.跟换、维护数通、传输设备的故障部件及相应辅材；2.波分设备、OLT设备按照甲方及项目需求组织设备厂家、技术团队提供不多于10次的设备故障排除、维修；3.按照甲方及项目需求提供相应的技术培训服务；</w:t>
            </w:r>
          </w:p>
        </w:tc>
      </w:tr>
      <w:tr>
        <w:tc>
          <w:tcPr>
            <w:tcW w:type="dxa" w:w="2769"/>
          </w:tcPr>
          <w:p>
            <w:pPr>
              <w:pStyle w:val="null5"/>
              <w:jc w:val="left"/>
            </w:pPr>
            <w:r>
              <w:rPr>
                <w:rFonts w:ascii="仿宋_GB2312" w:hAnsi="仿宋_GB2312" w:cs="仿宋_GB2312" w:eastAsia="仿宋_GB2312"/>
              </w:rPr>
              <w:t>14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维护企业驻地要求：</w:t>
            </w:r>
            <w:r>
              <w:br/>
            </w:r>
            <w:r>
              <w:rPr>
                <w:rFonts w:ascii="仿宋_GB2312" w:hAnsi="仿宋_GB2312" w:cs="仿宋_GB2312" w:eastAsia="仿宋_GB2312"/>
              </w:rPr>
              <w:t xml:space="preserve"> 维护企业必须针对本项目所在地伊金霍洛旗配备项目部和材料设备存储场地并出示正规的租赁协议或房产证。</w:t>
            </w:r>
          </w:p>
        </w:tc>
      </w:tr>
      <w:tr>
        <w:tc>
          <w:tcPr>
            <w:tcW w:type="dxa" w:w="2769"/>
          </w:tcPr>
          <w:p>
            <w:pPr>
              <w:pStyle w:val="null5"/>
              <w:jc w:val="left"/>
            </w:pPr>
            <w:r>
              <w:rPr>
                <w:rFonts w:ascii="仿宋_GB2312" w:hAnsi="仿宋_GB2312" w:cs="仿宋_GB2312" w:eastAsia="仿宋_GB2312"/>
              </w:rPr>
              <w:t>15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光缆线路维护要求：</w:t>
            </w:r>
            <w:r>
              <w:br/>
            </w:r>
            <w:r>
              <w:rPr>
                <w:rFonts w:ascii="仿宋_GB2312" w:hAnsi="仿宋_GB2312" w:cs="仿宋_GB2312" w:eastAsia="仿宋_GB2312"/>
              </w:rPr>
              <w:t xml:space="preserve"> 维护单位必须提前组织人员现场踏勘并制作所有光缆线路路由电子版图纸提交甲方审核以便后期维护项目的实施。直埋光缆线路需定期巡检，巡检要求步巡与车巡，步巡每年不得少于4次以上，车巡每年不得少于12次以上。直埋光缆巡检时需检查附属设备标石、标志物、标志牌、无丢失、无严重损坏。维护人员通过探挖点检查等方法，应准确掌握光缆埋设位置，左右偏差不 超过 50 厘米，深度偏差不超过光缆实际埋深的 1/5。直埋光缆线路巡检时发现光缆裸露需及时组织人员填土或使用水泥等材料包封处理并记录。架空光缆巡检时需检查架空光缆杆路、吊线及光缆是否存在安全隐患。在巡回中发现的问题要及时处理，较大问题及时组织人员维修做好记录并向上级汇报。管道光缆线路巡检时需定期检查人孔及局内进线室，其内容为；人孔及进线室内光缆托架、托板是否完好，光缆标志是否齐全醒目，光缆 外护套、接头盒有无损伤、腐蚀、变形等情况，发现问题及时处理。人孔及进线室内光缆走线固定是否有脱落现象、管口堵塞、蛇形塑料保护管是否完整。发现人孔与管道损坏及时组织人员维修做好记录并向上级汇报。巡检时发现光缆线路上有其他人员或单位施工及时与其管理人员取得联系方式并为其施工人员指明线路位置，做好光缆线路宣传工作保证不会出现破坏线路的事情发生。如有必须位于光缆线路段施工需安排及时安排维护人员旁站指导并记录汇报。每年维护单位需摸排所有光缆线路并生成电子版图纸；按照甲方及项目需求及时跟新图纸，发生原有线路位置改迁和熔接点的增加需及注明汇报。</w:t>
            </w:r>
          </w:p>
        </w:tc>
      </w:tr>
      <w:tr>
        <w:tc>
          <w:tcPr>
            <w:tcW w:type="dxa" w:w="2769"/>
          </w:tcPr>
          <w:p>
            <w:pPr>
              <w:pStyle w:val="null5"/>
              <w:jc w:val="left"/>
            </w:pPr>
            <w:r>
              <w:rPr>
                <w:rFonts w:ascii="仿宋_GB2312" w:hAnsi="仿宋_GB2312" w:cs="仿宋_GB2312" w:eastAsia="仿宋_GB2312"/>
              </w:rPr>
              <w:t>16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光缆线路故障要求：光缆线路发生故障事，驻场人员及时通知光缆线路维修人员，维修人员需及时响应，响应时间不得超出10分钟。及时排查故障原因，维修人员找到故障位置或原因时通知上级部门并拍照留证，维修时需按照一下步骤实施：</w:t>
            </w:r>
            <w:r>
              <w:br/>
            </w:r>
            <w:r>
              <w:rPr>
                <w:rFonts w:ascii="仿宋_GB2312" w:hAnsi="仿宋_GB2312" w:cs="仿宋_GB2312" w:eastAsia="仿宋_GB2312"/>
              </w:rPr>
              <w:t xml:space="preserve"> 一、故障定位与分析：使用OTDR测试：抢修人员到达现场后，首先使用OTDR（光缆故障测试仪）对光缆进行全面检测，确定故障点的大致位置。现场勘查：根据OTDR测试结果，结合光缆线路图纸和现场实际情况，进行详细的现场勘查，找出故障点的具体位置。</w:t>
            </w:r>
            <w:r>
              <w:br/>
            </w:r>
            <w:r>
              <w:rPr>
                <w:rFonts w:ascii="仿宋_GB2312" w:hAnsi="仿宋_GB2312" w:cs="仿宋_GB2312" w:eastAsia="仿宋_GB2312"/>
              </w:rPr>
              <w:t xml:space="preserve"> 二、故障处理步骤：在故障点周围设置警示标志，确保抢修人员的人身安全。如需夜间抢修，应提供足够的照明设备，并安排专人监护。故障处理：光缆全断：若光缆完全断裂，且现场两侧有预留光缆，则采取集中预留、增加一个接头的方式处理；若故障点附近有接头且现场有足够的预留光缆，则采取拉预留、利用原接头的方式处理；若故障点附近既无预留又无接头，则采用续缆的方式解决。部分束管中断或单束管中的部分光纤中断：在不影响其他在用光纤的前提下，采用开天窗接续方法进行故障光纤修复。光缆熔接与测试：用光纤熔接机将断裂的光纤进行熔接，确保熔接质量。熔接完成后，使用OTDR对修复后的光缆进行测试，确保信号传输质量。</w:t>
            </w:r>
            <w:r>
              <w:br/>
            </w:r>
            <w:r>
              <w:rPr>
                <w:rFonts w:ascii="仿宋_GB2312" w:hAnsi="仿宋_GB2312" w:cs="仿宋_GB2312" w:eastAsia="仿宋_GB2312"/>
              </w:rPr>
              <w:t xml:space="preserve"> 光缆保护与固定：将修复后的光缆放入光缆接续盒内，做好密封和固定工作，防止再次受损。</w:t>
            </w:r>
            <w:r>
              <w:br/>
            </w:r>
            <w:r>
              <w:rPr>
                <w:rFonts w:ascii="仿宋_GB2312" w:hAnsi="仿宋_GB2312" w:cs="仿宋_GB2312" w:eastAsia="仿宋_GB2312"/>
              </w:rPr>
              <w:t xml:space="preserve"> 如需更换新的光缆段，则按照原线路敷设好新光缆，并进行熔接和封装。</w:t>
            </w:r>
            <w:r>
              <w:br/>
            </w:r>
            <w:r>
              <w:rPr>
                <w:rFonts w:ascii="仿宋_GB2312" w:hAnsi="仿宋_GB2312" w:cs="仿宋_GB2312" w:eastAsia="仿宋_GB2312"/>
              </w:rPr>
              <w:t xml:space="preserve"> 三、业务恢复与测试业务恢复：光缆修复完成后，及时通知机房进行测试，验证修复后的光缆是否可用。网络测试：驻场技术人员连接相关设备，进行网络信号测试，确保通信业务已恢复正常运行。</w:t>
            </w:r>
            <w:r>
              <w:br/>
            </w:r>
            <w:r>
              <w:rPr>
                <w:rFonts w:ascii="仿宋_GB2312" w:hAnsi="仿宋_GB2312" w:cs="仿宋_GB2312" w:eastAsia="仿宋_GB2312"/>
              </w:rPr>
              <w:t xml:space="preserve"> 四、后续工作现场清理：抢修工作结束后，及时清理现场，恢复环境原貌。资料更新：整理测试数据，填写相关表格，及时更新线路资料与图纸。发现损坏光缆人员或单位积极配合处理故障及时恢复线路传输。</w:t>
            </w:r>
          </w:p>
        </w:tc>
      </w:tr>
      <w:tr>
        <w:tc>
          <w:tcPr>
            <w:tcW w:type="dxa" w:w="2769"/>
          </w:tcPr>
          <w:p>
            <w:pPr>
              <w:pStyle w:val="null5"/>
              <w:jc w:val="left"/>
            </w:pPr>
            <w:r>
              <w:rPr>
                <w:rFonts w:ascii="仿宋_GB2312" w:hAnsi="仿宋_GB2312" w:cs="仿宋_GB2312" w:eastAsia="仿宋_GB2312"/>
              </w:rPr>
              <w:t>17</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光缆运维范围：</w:t>
            </w:r>
            <w:r>
              <w:br/>
            </w:r>
            <w:r>
              <w:rPr>
                <w:rFonts w:ascii="仿宋_GB2312" w:hAnsi="仿宋_GB2312" w:cs="仿宋_GB2312" w:eastAsia="仿宋_GB2312"/>
              </w:rPr>
              <w:t xml:space="preserve"> 1．同一中继段内，迁改光缆路由或改变敷设方式的累计长度小于等于1KM；</w:t>
            </w:r>
            <w:r>
              <w:br/>
            </w:r>
            <w:r>
              <w:rPr>
                <w:rFonts w:ascii="仿宋_GB2312" w:hAnsi="仿宋_GB2312" w:cs="仿宋_GB2312" w:eastAsia="仿宋_GB2312"/>
              </w:rPr>
              <w:t xml:space="preserve">  2．同一中继段内，增加或更换接头盒（含更换密封胶条、整修纤芯）的数量为小于等于10个；</w:t>
            </w:r>
            <w:r>
              <w:br/>
            </w:r>
            <w:r>
              <w:rPr>
                <w:rFonts w:ascii="仿宋_GB2312" w:hAnsi="仿宋_GB2312" w:cs="仿宋_GB2312" w:eastAsia="仿宋_GB2312"/>
              </w:rPr>
              <w:t xml:space="preserve">  3．同一中继段内，更换吊线及附属设备的累计长度为小于等于10km，或换杆的数量小于等于20根；</w:t>
            </w:r>
            <w:r>
              <w:br/>
            </w:r>
            <w:r>
              <w:rPr>
                <w:rFonts w:ascii="仿宋_GB2312" w:hAnsi="仿宋_GB2312" w:cs="仿宋_GB2312" w:eastAsia="仿宋_GB2312"/>
              </w:rPr>
              <w:t xml:space="preserve">  4．整修、更换管道（含简易管道、地下通道用塑料管道）的长度在）小于等于100m；</w:t>
            </w:r>
            <w:r>
              <w:br/>
            </w:r>
            <w:r>
              <w:rPr>
                <w:rFonts w:ascii="仿宋_GB2312" w:hAnsi="仿宋_GB2312" w:cs="仿宋_GB2312" w:eastAsia="仿宋_GB2312"/>
              </w:rPr>
              <w:t xml:space="preserve">  5．沟坎护坡的累计上石方量小于等于100m3；</w:t>
            </w:r>
            <w:r>
              <w:br/>
            </w:r>
            <w:r>
              <w:rPr>
                <w:rFonts w:ascii="仿宋_GB2312" w:hAnsi="仿宋_GB2312" w:cs="仿宋_GB2312" w:eastAsia="仿宋_GB2312"/>
              </w:rPr>
              <w:t xml:space="preserve">  6．整修、新增防雷、防蚀、防强电、防蚁及防鼠等设施的累计长度小于等于5km；</w:t>
            </w:r>
            <w:r>
              <w:br/>
            </w:r>
            <w:r>
              <w:rPr>
                <w:rFonts w:ascii="仿宋_GB2312" w:hAnsi="仿宋_GB2312" w:cs="仿宋_GB2312" w:eastAsia="仿宋_GB2312"/>
              </w:rPr>
              <w:t xml:space="preserve">  7．更换光缆线路自动监测系统中WDM的数量小于等于5个或滤光器的数量小于等于10个。</w:t>
            </w:r>
            <w:r>
              <w:br/>
            </w:r>
            <w:r>
              <w:rPr>
                <w:rFonts w:ascii="仿宋_GB2312" w:hAnsi="仿宋_GB2312" w:cs="仿宋_GB2312" w:eastAsia="仿宋_GB2312"/>
              </w:rPr>
              <w:t xml:space="preserve"> 具有下列内容之一者，可列为大修：</w:t>
            </w:r>
            <w:r>
              <w:br/>
            </w:r>
            <w:r>
              <w:rPr>
                <w:rFonts w:ascii="仿宋_GB2312" w:hAnsi="仿宋_GB2312" w:cs="仿宋_GB2312" w:eastAsia="仿宋_GB2312"/>
              </w:rPr>
              <w:t xml:space="preserve"> 1．同一中继段内，迁改光缆路由或改变敷设方式的累计长度为1～3KM；</w:t>
            </w:r>
            <w:r>
              <w:br/>
            </w:r>
            <w:r>
              <w:rPr>
                <w:rFonts w:ascii="仿宋_GB2312" w:hAnsi="仿宋_GB2312" w:cs="仿宋_GB2312" w:eastAsia="仿宋_GB2312"/>
              </w:rPr>
              <w:t xml:space="preserve"> 2．同一中继段内，增加或更换接头盒（含更换密封胶条、整修纤芯）的数量为10～20个；</w:t>
            </w:r>
            <w:r>
              <w:br/>
            </w:r>
            <w:r>
              <w:rPr>
                <w:rFonts w:ascii="仿宋_GB2312" w:hAnsi="仿宋_GB2312" w:cs="仿宋_GB2312" w:eastAsia="仿宋_GB2312"/>
              </w:rPr>
              <w:t xml:space="preserve"> 3．同一中继段内，更换吊线及附属设备的累计长度为10～20km，或换杆的数量为20～200根；</w:t>
            </w:r>
            <w:r>
              <w:br/>
            </w:r>
            <w:r>
              <w:rPr>
                <w:rFonts w:ascii="仿宋_GB2312" w:hAnsi="仿宋_GB2312" w:cs="仿宋_GB2312" w:eastAsia="仿宋_GB2312"/>
              </w:rPr>
              <w:t xml:space="preserve"> 4．整修、更换管道（含简易管道、地下通道用塑料管道）的长度在）100～500m；</w:t>
            </w:r>
            <w:r>
              <w:br/>
            </w:r>
            <w:r>
              <w:rPr>
                <w:rFonts w:ascii="仿宋_GB2312" w:hAnsi="仿宋_GB2312" w:cs="仿宋_GB2312" w:eastAsia="仿宋_GB2312"/>
              </w:rPr>
              <w:t xml:space="preserve"> 5．沟坎护坡的累计上石方量为100～200m3；</w:t>
            </w:r>
            <w:r>
              <w:br/>
            </w:r>
            <w:r>
              <w:rPr>
                <w:rFonts w:ascii="仿宋_GB2312" w:hAnsi="仿宋_GB2312" w:cs="仿宋_GB2312" w:eastAsia="仿宋_GB2312"/>
              </w:rPr>
              <w:t xml:space="preserve"> 6．整修、新增防雷、防蚀、防强电、防蚁及防鼠等设施的累计长度为5～10km；</w:t>
            </w:r>
            <w:r>
              <w:br/>
            </w:r>
            <w:r>
              <w:rPr>
                <w:rFonts w:ascii="仿宋_GB2312" w:hAnsi="仿宋_GB2312" w:cs="仿宋_GB2312" w:eastAsia="仿宋_GB2312"/>
              </w:rPr>
              <w:t xml:space="preserve"> 7．更换光缆线路自动监测系统中WDM的数量在5个或以上，或滤光器的数量在10个或以上。</w:t>
            </w:r>
            <w:r>
              <w:br/>
            </w:r>
            <w:r>
              <w:rPr>
                <w:rFonts w:ascii="仿宋_GB2312" w:hAnsi="仿宋_GB2312" w:cs="仿宋_GB2312" w:eastAsia="仿宋_GB2312"/>
              </w:rPr>
              <w:t xml:space="preserve"> 具有下列内容之一者,可列为改造：</w:t>
            </w:r>
            <w:r>
              <w:br/>
            </w:r>
            <w:r>
              <w:rPr>
                <w:rFonts w:ascii="仿宋_GB2312" w:hAnsi="仿宋_GB2312" w:cs="仿宋_GB2312" w:eastAsia="仿宋_GB2312"/>
              </w:rPr>
              <w:t xml:space="preserve"> 1．同一中继段内，迁改、更换光缆（含改变敷设方式）的累计长度在3km以上；</w:t>
            </w:r>
            <w:r>
              <w:br/>
            </w:r>
            <w:r>
              <w:rPr>
                <w:rFonts w:ascii="仿宋_GB2312" w:hAnsi="仿宋_GB2312" w:cs="仿宋_GB2312" w:eastAsia="仿宋_GB2312"/>
              </w:rPr>
              <w:t xml:space="preserve"> 2．更换水线或登陆海缆，或敷设备用水线；</w:t>
            </w:r>
            <w:r>
              <w:br/>
            </w:r>
            <w:r>
              <w:rPr>
                <w:rFonts w:ascii="仿宋_GB2312" w:hAnsi="仿宋_GB2312" w:cs="仿宋_GB2312" w:eastAsia="仿宋_GB2312"/>
              </w:rPr>
              <w:t xml:space="preserve"> 3．同一中继段内，更换接头盒（含更换密封胶带、整修纤芯）的数量占其总数在50％或以上，或同一长途线路中更换接头盒的数量在20个以上；</w:t>
            </w:r>
            <w:r>
              <w:br/>
            </w:r>
            <w:r>
              <w:rPr>
                <w:rFonts w:ascii="仿宋_GB2312" w:hAnsi="仿宋_GB2312" w:cs="仿宋_GB2312" w:eastAsia="仿宋_GB2312"/>
              </w:rPr>
              <w:t xml:space="preserve"> 4．同一长途线路中，更换吊线及附属设备的累计长度在20km以上，或换杆的数量</w:t>
            </w:r>
            <w:r>
              <w:br/>
            </w:r>
            <w:r>
              <w:rPr>
                <w:rFonts w:ascii="仿宋_GB2312" w:hAnsi="仿宋_GB2312" w:cs="仿宋_GB2312" w:eastAsia="仿宋_GB2312"/>
              </w:rPr>
              <w:t xml:space="preserve"> 在200根以上；</w:t>
            </w:r>
            <w:r>
              <w:br/>
            </w:r>
            <w:r>
              <w:rPr>
                <w:rFonts w:ascii="仿宋_GB2312" w:hAnsi="仿宋_GB2312" w:cs="仿宋_GB2312" w:eastAsia="仿宋_GB2312"/>
              </w:rPr>
              <w:t xml:space="preserve"> 5．整修、更换管道（含简易管道、地下通道用塑料管道）的长度在500m以上； 6．整修、新增防雷、防蚀、防强电、防蚁及防鼠等设施的累计长度在10km以上；</w:t>
            </w:r>
            <w:r>
              <w:br/>
            </w: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具有良好的商业信誉和健全的财务会计制度;审查投标人2022年或2023年度经会计师事务所出具的财务审计报告或其基本开户银行出具的近一年内的银行资信证明。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有依法缴纳税收和社会保障 资金的良好记录:1.提供递交投标文件截止之日前一年内（至少一个月）的良好缴纳税收的相关凭据。（以税务机关提供的纳税凭据或银行入账单为准） 提供递交投标文件截止之日前一年内（至少一个月）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供应商针对本项目，制定科学、合理、可操作性强的服务方案，内容包括但不限于整体方案应满足采购文件要求、符合应用需求，可保证项目正常稳定实施，网络及设备安全稳定运行等，每有一项得5分，最多得15分。供应商提供的方案涵盖了上述全部内容，满足或优于项目要求，具体详实、符合实际，得15分；供应商提供的方案涵盖了上述全部内容，小部分内容存在阐述不清晰或不合理或存在微小漏洞，但能基本满足项目要求，得10分；供应商提供的方案仅涵盖了上述部分内容或存在影响项目实施的隐患，得5分；未提供不得分，本项最高得30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供应商提供质量目标、通病治理及质量控制、质量保证等制定具体可行的质量措施方案。供应商提供的方案涵盖了上述全部内容，满足或优于项目要求，具体详实、符合实际，得8分；供应商提供的方案涵盖了上述全部内容，小部分内容存在阐述不清晰或不合理或存在微小漏洞，但能基本满足项目要求，得5分；供应商提供的方案仅涵盖了上述部分内容或存在影响项目质量的隐患，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供应商提供安全文明施工保证措施合理，有效，有明确得安全管理体系目标。供应商提供的方案涵盖了上述全部内容，满足或优于项目要求，具体详实、符合实际，得8分；供应商提供的方案涵盖了上述全部内容，小部分内容存在阐述不清晰或不合理或存在微小漏洞，但能基本满足项目要求，得5分；供应商提供的方案仅涵盖了上述部分内容或存在影响项目质量的隐患，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供应商提供制定完善的环境管理体系，针对本项目防尘污染、噪音污染、固体废弃物清运等提出具体有效的管理措施。供应商提供的方案涵盖了上述全部内容，满足或优于项目要求，具体详实、符合实际，得8分；供应商提供的方案涵盖了上述全部内容，小部分内容存在阐述不清晰或不合理或存在微小漏洞，但能基本满足项目要求，得5分；供应商提供的方案仅涵盖了上述部分内容或存在影响项目质量的隐患，得2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对本项目的认识与问题诊断及重难点解决方案</w:t>
            </w:r>
          </w:p>
        </w:tc>
        <w:tc>
          <w:tcPr>
            <w:tcW w:type="dxa" w:w="3115"/>
          </w:tcPr>
          <w:p>
            <w:pPr>
              <w:pStyle w:val="null5"/>
              <w:jc w:val="left"/>
            </w:pPr>
            <w:r>
              <w:rPr>
                <w:rFonts w:ascii="仿宋_GB2312" w:hAnsi="仿宋_GB2312" w:cs="仿宋_GB2312" w:eastAsia="仿宋_GB2312"/>
              </w:rPr>
              <w:t>掌握本项目管理要求及常见问题，结合本项目可能存在的问题，提供的重、难点及解决方案，内容包括但不限于对本项目的重点、难点的点评理解、有针对性的解决方案等，每有一项得2.5分，最多得5分。 供应商提供的方案涵盖了上述全部内容，满足或优于项目要求，具体详实、符合实际、针对性强，得5分；供应商提供的方案涵盖了上述全部内容，小部分内容存在阐述不清晰或不合理或存在微小漏洞，但能基本满足项目要求，得3分；供应商提供的方案仅涵盖了上述部分内容或存在影响项目质量的隐患，得1分；未提供不得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供应商提供劳动力计划工种齐备，劳动力、施工机具按工序合理组织进场，配备数量符合项目需求，施工机具达到正常运作能力。供应商提供的人员设备涵盖了上述全部内容，满足或优于项目要求，符合实际，得6分；供应商提供的的人员设备涵盖了上述全部内容，基本满足项目要求，得3分；供应商提供的人员设备仅涵盖了上述部分内容或存在影响项目质量的隐患，得1分；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年（2021年至今，以合同签订时间为准），承担类似业绩的，每承担1项得4分，不提供不得分，本项最多得8分，类似业绩指智能化弱电系统维保或机房传输线路服务等。业绩以合同为准，响应文件须附合同扫描件。</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项目服务团队</w:t>
            </w:r>
          </w:p>
        </w:tc>
        <w:tc>
          <w:tcPr>
            <w:tcW w:type="dxa" w:w="3115"/>
          </w:tcPr>
          <w:p>
            <w:pPr>
              <w:pStyle w:val="null5"/>
              <w:jc w:val="left"/>
            </w:pPr>
            <w:r>
              <w:rPr>
                <w:rFonts w:ascii="仿宋_GB2312" w:hAnsi="仿宋_GB2312" w:cs="仿宋_GB2312" w:eastAsia="仿宋_GB2312"/>
              </w:rPr>
              <w:t>项目负责人具备IT服务工程师证书，且在本单位工作，得4分，最高得4分；（项目负责人本单位工作须以供应商所属社保机构出具的2024年01月至投标截止之日连续6个月或以上的社保缴费证明为准（须加盖缴费证明专用章）。新入职人员须提供入职至投标截止日前的社保缴费证明及与聘用单位签订的有效的聘用劳动合同；退休人员无需提供社保缴费证明，需提供与聘用单位签订的有效的聘用劳动合同及退休证明。） 注：响应文件须附以上扫描件，未提供或内容模糊不清的不得分。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综合实力</w:t>
            </w:r>
          </w:p>
        </w:tc>
        <w:tc>
          <w:tcPr>
            <w:tcW w:type="dxa" w:w="3115"/>
          </w:tcPr>
          <w:p>
            <w:pPr>
              <w:pStyle w:val="null5"/>
              <w:jc w:val="left"/>
            </w:pPr>
            <w:r>
              <w:rPr>
                <w:rFonts w:ascii="仿宋_GB2312" w:hAnsi="仿宋_GB2312" w:cs="仿宋_GB2312" w:eastAsia="仿宋_GB2312"/>
              </w:rPr>
              <w:t>1.供应商每获得过一项高新技术企业荣誉或国家级科技型中小企业的得2分，最高得4分，不提供不得分； 2.供应商同时具有有效期内的质量管理体系认证证书、环境管理体系认证证书、职业健康安全管理体系认证证书得4分，缺任意一项不得分；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