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林权和草权管理项目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伊金霍洛旗不动产登记中心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内蒙古家晨项目管理有限公司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ESZCYQS-C-F-250029</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内蒙古家晨项目管理有限公司</w:t>
      </w:r>
      <w:r>
        <w:rPr>
          <w:rFonts w:ascii="仿宋_GB2312" w:hAnsi="仿宋_GB2312" w:cs="仿宋_GB2312" w:eastAsia="仿宋_GB2312"/>
        </w:rPr>
        <w:t xml:space="preserve"> 受 </w:t>
      </w:r>
      <w:r>
        <w:rPr>
          <w:rFonts w:ascii="仿宋_GB2312" w:hAnsi="仿宋_GB2312" w:cs="仿宋_GB2312" w:eastAsia="仿宋_GB2312"/>
        </w:rPr>
        <w:t>伊金霍洛旗不动产登记中心</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林权和草权管理项目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林权和草权管理项目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ESZCYQS-C-F-250029</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435[2025]00134</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1,390,000.00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林权和草权管理项目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1,390,000.00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内蒙古家晨项目管理有限公司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内蒙古自治区鄂尔多斯市杭锦旗鄂尔多斯市杭锦旗杭锦大街海昌B座501</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刘海清</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18747784633</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伊金霍洛旗不动产登记中心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鄂尔多斯市伊金霍洛旗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017200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燕婷</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15149506661</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代理服务费收费标准：参照内工建协2022（34）号文件规定计取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伊金霍洛旗不动产登记中心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内蒙古家晨项目管理有限公司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sz w:val="21"/>
        </w:rPr>
        <w:t>实地核查林地、草地交界线，核实地类是否重叠</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自合同签订之日起至2025年12月31日（采购人可以签订不超过三年履行期限的采购合同，第二年、第三年按照采购合同严格履约验收后，一年一签。）</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鄂尔多斯市伊金霍洛旗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1、合同签订后一次性支付，达到付款条件起30日，支付合同总金额的100.00%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标的名称：林权和草权管理项目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rPr>
              <w:t>林地、草地权属实地调查：需深入林地、草地现场，全方位展开权属状况调查。通过查阅各类历史文件，如早期的土地登记资料、承包合同等，梳理权属演变脉络。</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sz w:val="21"/>
              </w:rPr>
              <w:t>林地、草地交界线实地核查：工作人员需亲赴实地实测，依据植被特征、地形地貌等实际状况，精准确定交界线位置。对存在争议之处，综合多方因素判定，确保边界清晰无误。</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sz w:val="21"/>
              </w:rPr>
              <w:t>地类重叠核实：以现行土地利用现状图和林地、草地专项规划图为基础，初步筛查可能存在的重叠区域。针对疑似重叠部分，开展实地调研，通过实地观察、询问当地知情人士等方式，明确土地实际用途。综合历史使用情况与政策规定，准确判断地类是否重叠。</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21"/>
              </w:rPr>
              <w:t>林权、草权电子档案及矢量数据整理：全面收集林权、草权相关资料，包括权属证书、审批文件等，将其数字化处理后，按统一标准分类存储，构建便于检索的电子档案系统。对于矢量数据，运用专业软件进行编辑完善，精准绘制林地、草地边界，并标注权属人、面积等关键属性信息。建立定期备份机制，确保数据安全。</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具有良好的商业信誉和健全的财务会计制度;审查投标人2023年或2024年度经会计师事务所出具的财务审计报告或其基本开户银行出具的近一年内的银行资信证明。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有依法缴纳税收和社会保障资金的良好记录:1.提供递交投标文件截止之日前一年内（至少一个月）的良好缴纳税收的相关凭据。（以税务机关提供的纳税凭据或银行入账单为准） 2.提供递交投标文件截止之日前一年内（至少一个月）缴纳社会保险的凭证。（以专用收据或社会保险缴纳清单为准）注：其他组织和自然人也需要提供缴纳税收的凭据金额缴纳社保的凭据。依法免税或不需要缴纳社会保障资金的投标人，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技术参数（非标“★”项）</w:t>
            </w:r>
          </w:p>
        </w:tc>
        <w:tc>
          <w:tcPr>
            <w:tcW w:type="dxa" w:w="3115"/>
          </w:tcPr>
          <w:p>
            <w:pPr>
              <w:pStyle w:val="null5"/>
              <w:jc w:val="left"/>
            </w:pPr>
            <w:r>
              <w:rPr>
                <w:rFonts w:ascii="仿宋_GB2312" w:hAnsi="仿宋_GB2312" w:cs="仿宋_GB2312" w:eastAsia="仿宋_GB2312"/>
              </w:rPr>
              <w:t>技术参数指标（非标“★”项） 完全满足招标文件要求的得8分，每有一项不满足或负偏离减2分，减完为止。</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本项目的理解及现状分析</w:t>
            </w:r>
          </w:p>
        </w:tc>
        <w:tc>
          <w:tcPr>
            <w:tcW w:type="dxa" w:w="3115"/>
          </w:tcPr>
          <w:p>
            <w:pPr>
              <w:pStyle w:val="null5"/>
              <w:jc w:val="left"/>
            </w:pPr>
            <w:r>
              <w:rPr>
                <w:rFonts w:ascii="仿宋_GB2312" w:hAnsi="仿宋_GB2312" w:cs="仿宋_GB2312" w:eastAsia="仿宋_GB2312"/>
              </w:rPr>
              <w:t>根据供应商对本项目的理解及现状分析进行评审，内容包括但不限于项目背景理解、需求分析、对本项目现状的了解等。供应商提供的方案涵盖了上述全部内容，满足或优于项目要求，具体详实、符合实际、针对性强的得10分；供应商提供的方案涵盖了上述全部内容，小部分内容存在阐述不清晰或不合理或存在微小漏洞，但能满足项目要求的得8分；供应商提供的方案涵盖了上述大部分内容，部分内容存在阐述不清晰或不合理或存在微小漏洞，但能基本满足项目要求的得7分；供应商提供的方案仅涵盖了上述部分内容或存在影响项目实施的隐患的得5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根据供应商提供的项目实施方案进行评审，内容包括但不限于人员及设备配置、具体实施措施等。供应商提供的方案涵盖了上述全部内容，满足或优于项目要求，具体详实、符合实际、针对性强的得15分；供应商提供的方案涵盖了上述全部内容，小部分内容存在阐述不清晰或不合理或存在微小漏洞，但能满足项目要求的得12；供应商提供的方案涵盖了上述大部分内容，部分内容存在阐述不清晰或不合理或存在微小漏洞，但能基本满足项目要求的得9分；供应商提供的方案仅涵盖了上述部分内容或存在影响项目实施的隐患的得6分；未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服务质量保障方案</w:t>
            </w:r>
          </w:p>
        </w:tc>
        <w:tc>
          <w:tcPr>
            <w:tcW w:type="dxa" w:w="3115"/>
          </w:tcPr>
          <w:p>
            <w:pPr>
              <w:pStyle w:val="null5"/>
              <w:jc w:val="left"/>
            </w:pPr>
            <w:r>
              <w:rPr>
                <w:rFonts w:ascii="仿宋_GB2312" w:hAnsi="仿宋_GB2312" w:cs="仿宋_GB2312" w:eastAsia="仿宋_GB2312"/>
              </w:rPr>
              <w:t>对供应商的服务保障质量方案进行评审，供应商具有详细的服务质量保障措施（包含服务质量保障方案、服务质量承诺、后勤保障计划等）情况进行综合评审，供应商提供的方案涵盖了上述全部内容,满足或优于项目要求，具体详实、符合实际、针对性强的得10分；供应商提供的方案涵盖了上述全部内容，小部分内容存在阐述不清晰或不合理或存在微小漏洞，但能基本满足项目要求的得8;供应商提供的方案仅涵盖了上述部分内容或存在影响项目实施的隐患的得6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拟派项目组的组织框架结构</w:t>
            </w:r>
          </w:p>
        </w:tc>
        <w:tc>
          <w:tcPr>
            <w:tcW w:type="dxa" w:w="3115"/>
          </w:tcPr>
          <w:p>
            <w:pPr>
              <w:pStyle w:val="null5"/>
              <w:jc w:val="left"/>
            </w:pPr>
            <w:r>
              <w:rPr>
                <w:rFonts w:ascii="仿宋_GB2312" w:hAnsi="仿宋_GB2312" w:cs="仿宋_GB2312" w:eastAsia="仿宋_GB2312"/>
              </w:rPr>
              <w:t>对供应商的拟派项目组的组织框架结构方案进行评审，人员职责分工、组织管理措施内容设定是否完善、科学、合理等情况进行综合评审，供应商提供的方案涵盖了上述全部内容,满足或优于项目要求，具体详实、符合实际、针对性强的得10分；供应商提供的方案涵盖了上述全部内容，小部分内容存在阐述不清晰或不合理或存在微小漏洞，但能基本满足项目要求的得8分;供应商提供的方案仅涵盖了上述部分内容或存在影响项目实施的隐患的得6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管理制度</w:t>
            </w:r>
          </w:p>
        </w:tc>
        <w:tc>
          <w:tcPr>
            <w:tcW w:type="dxa" w:w="3115"/>
          </w:tcPr>
          <w:p>
            <w:pPr>
              <w:pStyle w:val="null5"/>
              <w:jc w:val="left"/>
            </w:pPr>
            <w:r>
              <w:rPr>
                <w:rFonts w:ascii="仿宋_GB2312" w:hAnsi="仿宋_GB2312" w:cs="仿宋_GB2312" w:eastAsia="仿宋_GB2312"/>
              </w:rPr>
              <w:t>根据供应商提供的管理制度进行评审，内容包括但不限于人员管理制度、保密管理制度、档案管理制度等。 供应商提供的方案涵盖了上述全部内容, 满足或优于项目要求，具体详实、符合实际、针对性强的得7分；供应商提供的方案涵盖了上述全部内容，小部分内容存在阐述不清晰或不合理或存在微小漏洞，但能基本满足项目要求的得5分 ;供应商提供的方案仅涵盖了上述部分内容或存在影响项目实施的隐患的 得3分；未提供不得分。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本项目的重、难点及解决方案</w:t>
            </w:r>
          </w:p>
        </w:tc>
        <w:tc>
          <w:tcPr>
            <w:tcW w:type="dxa" w:w="3115"/>
          </w:tcPr>
          <w:p>
            <w:pPr>
              <w:pStyle w:val="null5"/>
              <w:jc w:val="left"/>
            </w:pPr>
            <w:r>
              <w:rPr>
                <w:rFonts w:ascii="仿宋_GB2312" w:hAnsi="仿宋_GB2312" w:cs="仿宋_GB2312" w:eastAsia="仿宋_GB2312"/>
              </w:rPr>
              <w:t>根据供应商提供的针对本项目的重、难点及解决方案进行评审，内容包括但不限于对本项目的重点、难点的点评理解、有针对性的解决方案等。供应商提供的方案涵盖了上述全部内容，满足或优于项目要求，具体详实、符合实际、针对性强的得10分；供应商提供的方案涵盖了上述全部内容，小部分内容存在阐述不清晰或不合理或存在微小漏洞，但能基本满足项目要求的得8分；供应商提供的方案仅涵盖了上述部分内容或存在影响项目质量的隐患的得6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2022年1月1日至递交响应文件截止时间 (以合同签订时间为准) ，每有一项服务类项目的业绩得5分，最多得20分，须提供合同扫描件，合同金额、签章必须清晰，不清晰不予评分。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