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伊金霍洛旗兽医社会化服务采购</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伊金霍洛旗动物疫病预防控制中心</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鄂尔多斯市蒙骏工程项目管理咨询有限公司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ESZCYQS-G-F-250031</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鄂尔多斯市蒙骏工程项目管理咨询有限公司</w:t>
      </w:r>
      <w:r>
        <w:rPr>
          <w:rFonts w:ascii="仿宋_GB2312" w:hAnsi="仿宋_GB2312" w:cs="仿宋_GB2312" w:eastAsia="仿宋_GB2312"/>
        </w:rPr>
        <w:t xml:space="preserve"> 受 </w:t>
      </w:r>
      <w:r>
        <w:rPr>
          <w:rFonts w:ascii="仿宋_GB2312" w:hAnsi="仿宋_GB2312" w:cs="仿宋_GB2312" w:eastAsia="仿宋_GB2312"/>
        </w:rPr>
        <w:t>伊金霍洛旗动物疫病预防控制中心</w:t>
      </w:r>
      <w:r>
        <w:rPr>
          <w:rFonts w:ascii="仿宋_GB2312" w:hAnsi="仿宋_GB2312" w:cs="仿宋_GB2312" w:eastAsia="仿宋_GB2312"/>
        </w:rPr>
        <w:t xml:space="preserve"> 委托，采用公开招标方式组织采购 </w:t>
      </w:r>
      <w:r>
        <w:rPr>
          <w:rFonts w:ascii="仿宋_GB2312" w:hAnsi="仿宋_GB2312" w:cs="仿宋_GB2312" w:eastAsia="仿宋_GB2312"/>
        </w:rPr>
        <w:t>伊金霍洛旗兽医社会化服务采购</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伊金霍洛旗兽医社会化服务采购</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ESZCYQS-G-F-250031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435[2025]00148</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6,400,000.00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伊金霍洛旗兽医社会化服务项目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6,400,000.00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鄂尔多斯市蒙骏工程项目管理咨询有限公司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内蒙古自治区鄂尔多斯市伊金霍洛旗水岸金钻东塔2307B</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017200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李倩阁</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13704778990</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伊金霍洛旗动物疫病预防控制中心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鄂尔多斯市伊金霍洛旗</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017200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李杰</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13947373903</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代理服务费收费标准：采购机构代理服务收费标准：参照内工建协（2022）34号文件收取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伊金霍洛旗动物疫病预防控制中心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鄂尔多斯市蒙骏工程项目管理咨询有限公司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投标人是法人的审查会计师事务所出具的2023年度或2024年度财务审计报告或基本开户银 行近一年内出具的资信证明。</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1.提供递交投标文件截止之日前1年内（至少一个月）的良好缴纳税收的相关凭据。（以税 务机关提供的纳税凭据或银行入账单为准） 2.提供递交投标文件截止之日前1年内（至少一 个月）缴纳社会保险的凭证。（以社保机构出具的专用收据或社会保险缴纳清单为准） 注： 依法免税或不需要缴纳社会保障资金的投标人，应提供相应文件证明其依法免税或不需要缴 纳社会保障资金。</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伊金霍洛旗兽医社会化服务项目，具体内容详见技术要求。</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服务期：一年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伊金霍洛旗</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1、1期：支付比例25% ，达到付款条件起15日，支付合同总金额的25.00%</w:t>
            </w:r>
          </w:p>
          <w:p>
            <w:pPr>
              <w:pStyle w:val="null5"/>
              <w:jc w:val="left"/>
            </w:pPr>
            <w:r>
              <w:rPr>
                <w:rFonts w:ascii="仿宋_GB2312" w:hAnsi="仿宋_GB2312" w:cs="仿宋_GB2312" w:eastAsia="仿宋_GB2312"/>
              </w:rPr>
              <w:t>2、2期：支付比例25% ，达到付款条件起15日，支付合同总金额的25.00%</w:t>
            </w:r>
          </w:p>
          <w:p>
            <w:pPr>
              <w:pStyle w:val="null5"/>
              <w:jc w:val="left"/>
            </w:pPr>
            <w:r>
              <w:rPr>
                <w:rFonts w:ascii="仿宋_GB2312" w:hAnsi="仿宋_GB2312" w:cs="仿宋_GB2312" w:eastAsia="仿宋_GB2312"/>
              </w:rPr>
              <w:t>3、3期：支付比例25% ，达到付款条件起15日，支付合同总金额的25.00%</w:t>
            </w:r>
          </w:p>
          <w:p>
            <w:pPr>
              <w:pStyle w:val="null5"/>
              <w:jc w:val="left"/>
            </w:pPr>
            <w:r>
              <w:rPr>
                <w:rFonts w:ascii="仿宋_GB2312" w:hAnsi="仿宋_GB2312" w:cs="仿宋_GB2312" w:eastAsia="仿宋_GB2312"/>
              </w:rPr>
              <w:t>4、4期：支付比例25% ，达到付款条件起15日，支付合同总金额的25.00%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履约验收方式</w:t>
            </w:r>
          </w:p>
        </w:tc>
        <w:tc>
          <w:tcPr>
            <w:tcW w:type="dxa" w:w="2076"/>
          </w:tcPr>
          <w:p>
            <w:pPr>
              <w:pStyle w:val="null5"/>
              <w:jc w:val="left"/>
            </w:pPr>
            <w:r>
              <w:rPr>
                <w:rFonts w:ascii="仿宋_GB2312" w:hAnsi="仿宋_GB2312" w:cs="仿宋_GB2312" w:eastAsia="仿宋_GB2312"/>
              </w:rPr>
              <w:t>1、期次1，说明：每半年由社会化服务承接主体提出验收申请后，镇人民政府组织有关部门按照《伊金霍洛旗兽医社会化服务验收考核办法》进行初验，形成书面验收意见后上报旗农牧局申请抽验、复评和备案。</w:t>
            </w:r>
          </w:p>
          <w:p>
            <w:pPr>
              <w:pStyle w:val="null5"/>
              <w:jc w:val="left"/>
            </w:pPr>
            <w:r>
              <w:rPr>
                <w:rFonts w:ascii="仿宋_GB2312" w:hAnsi="仿宋_GB2312" w:cs="仿宋_GB2312" w:eastAsia="仿宋_GB2312"/>
              </w:rPr>
              <w:t>2、期次2，说明：每半年由社会化服务承接主体提出验收申请后，镇人民政府组织有关部门按照《伊金霍洛旗兽医社会化服务验收考核办法》进行初验，形成书面验收意见后上报旗农牧局申请抽验、复评和备案。</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投标有效期：从提交投标（响应）文件的截止之日起90日历天</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标的名称：伊金霍洛旗兽医社会化服务项目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spacing w:before="105"/>
              <w:ind w:left="105" w:right="120"/>
              <w:jc w:val="left"/>
            </w:pPr>
            <w:r>
              <w:rPr>
                <w:rFonts w:ascii="仿宋_GB2312" w:hAnsi="仿宋_GB2312" w:cs="仿宋_GB2312" w:eastAsia="仿宋_GB2312"/>
                <w:sz w:val="21"/>
                <w:color w:val="000000"/>
              </w:rPr>
              <w:t>防疫类服务：包括免疫接种、 免疫档案填写与管理、免疫标识佩戴、消毒灭源、废弃物处理、免疫副反应救治、防疫物资 管理等。</w:t>
            </w:r>
          </w:p>
          <w:p>
            <w:pPr>
              <w:pStyle w:val="null5"/>
              <w:jc w:val="left"/>
            </w:pPr>
            <w:r>
              <w:rPr>
                <w:rFonts w:ascii="仿宋_GB2312" w:hAnsi="仿宋_GB2312" w:cs="仿宋_GB2312" w:eastAsia="仿宋_GB2312"/>
                <w:sz w:val="21"/>
                <w:color w:val="000000"/>
              </w:rPr>
              <w:t>（1）免疫畜禽数量： 肉牛5.23万头，羊63.7万只，猪7.26万头，鸡26.5万羽，犬0.3万条。</w:t>
            </w:r>
          </w:p>
          <w:p>
            <w:pPr>
              <w:pStyle w:val="null5"/>
              <w:jc w:val="left"/>
            </w:pPr>
            <w:r>
              <w:rPr>
                <w:rFonts w:ascii="仿宋_GB2312" w:hAnsi="仿宋_GB2312" w:cs="仿宋_GB2312" w:eastAsia="仿宋_GB2312"/>
                <w:sz w:val="21"/>
                <w:color w:val="000000"/>
              </w:rPr>
              <w:t>（2）免疫病种和接种次数：</w:t>
            </w:r>
          </w:p>
          <w:p>
            <w:pPr>
              <w:pStyle w:val="null5"/>
              <w:jc w:val="left"/>
            </w:pPr>
            <w:r>
              <w:rPr>
                <w:rFonts w:ascii="仿宋_GB2312" w:hAnsi="仿宋_GB2312" w:cs="仿宋_GB2312" w:eastAsia="仿宋_GB2312"/>
                <w:sz w:val="21"/>
                <w:color w:val="000000"/>
              </w:rPr>
              <w:t>①肉牛： 口蹄疫O-A二价2次；</w:t>
            </w:r>
          </w:p>
          <w:p>
            <w:pPr>
              <w:pStyle w:val="null5"/>
              <w:jc w:val="left"/>
            </w:pPr>
            <w:r>
              <w:rPr>
                <w:rFonts w:ascii="仿宋_GB2312" w:hAnsi="仿宋_GB2312" w:cs="仿宋_GB2312" w:eastAsia="仿宋_GB2312"/>
                <w:sz w:val="21"/>
                <w:color w:val="000000"/>
              </w:rPr>
              <w:t>②奶牛： 口蹄疫O-A二价3次；</w:t>
            </w:r>
          </w:p>
          <w:p>
            <w:pPr>
              <w:pStyle w:val="null5"/>
              <w:jc w:val="left"/>
            </w:pPr>
            <w:r>
              <w:rPr>
                <w:rFonts w:ascii="仿宋_GB2312" w:hAnsi="仿宋_GB2312" w:cs="仿宋_GB2312" w:eastAsia="仿宋_GB2312"/>
                <w:sz w:val="21"/>
                <w:color w:val="000000"/>
              </w:rPr>
              <w:t>③羊：小反刍兽疫1次， 口蹄疫O-A型2次；根据流行病学调查结果开展：羊痘1次，三联四防1次、羊传染性胸膜肺炎2次；</w:t>
            </w:r>
          </w:p>
          <w:p>
            <w:pPr>
              <w:pStyle w:val="null5"/>
              <w:jc w:val="left"/>
            </w:pPr>
            <w:r>
              <w:rPr>
                <w:rFonts w:ascii="仿宋_GB2312" w:hAnsi="仿宋_GB2312" w:cs="仿宋_GB2312" w:eastAsia="仿宋_GB2312"/>
                <w:sz w:val="21"/>
                <w:color w:val="000000"/>
              </w:rPr>
              <w:t>④猪：口蹄疫合成肽疫或猪口蹄疫O-A二价苗2次、猪瘟2次、猪蓝耳病2次；</w:t>
            </w:r>
          </w:p>
          <w:p>
            <w:pPr>
              <w:pStyle w:val="null5"/>
              <w:jc w:val="left"/>
            </w:pPr>
            <w:r>
              <w:rPr>
                <w:rFonts w:ascii="仿宋_GB2312" w:hAnsi="仿宋_GB2312" w:cs="仿宋_GB2312" w:eastAsia="仿宋_GB2312"/>
                <w:sz w:val="21"/>
                <w:color w:val="000000"/>
              </w:rPr>
              <w:t>⑤禽类：禽流感H5-H7二价2次、新城疫2次；</w:t>
            </w:r>
          </w:p>
          <w:p>
            <w:pPr>
              <w:pStyle w:val="null5"/>
              <w:jc w:val="left"/>
            </w:pPr>
            <w:r>
              <w:rPr>
                <w:rFonts w:ascii="仿宋_GB2312" w:hAnsi="仿宋_GB2312" w:cs="仿宋_GB2312" w:eastAsia="仿宋_GB2312"/>
                <w:sz w:val="21"/>
                <w:color w:val="000000"/>
              </w:rPr>
              <w:t>⑥包虫病：对重点区域进行免疫，对犬开展每季度一</w:t>
            </w:r>
            <w:r>
              <w:rPr>
                <w:rFonts w:ascii="仿宋_GB2312" w:hAnsi="仿宋_GB2312" w:cs="仿宋_GB2312" w:eastAsia="仿宋_GB2312"/>
                <w:sz w:val="21"/>
                <w:color w:val="000000"/>
              </w:rPr>
              <w:t>次驱虫，共四次；</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sz w:val="21"/>
                <w:color w:val="000000"/>
              </w:rPr>
              <w:t>协管类服务：疫情排查、疫病监测、流行病调查与采样、追溯体系建设和产地检疫协检、牲畜流通监管、病死动物收集与无害化处</w:t>
            </w:r>
            <w:r>
              <w:rPr>
                <w:rFonts w:ascii="仿宋_GB2312" w:hAnsi="仿宋_GB2312" w:cs="仿宋_GB2312" w:eastAsia="仿宋_GB2312"/>
                <w:sz w:val="21"/>
                <w:color w:val="000000"/>
              </w:rPr>
              <w:t>理、突发重大动物疫情处置等。</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sz w:val="21"/>
                <w:color w:val="000000"/>
              </w:rPr>
              <w:t>报告类服务：疫情报告、宣传和专业技术培训、数据统计上报等。</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spacing w:before="150"/>
              <w:jc w:val="left"/>
            </w:pPr>
            <w:r>
              <w:rPr>
                <w:rFonts w:ascii="仿宋_GB2312" w:hAnsi="仿宋_GB2312" w:cs="仿宋_GB2312" w:eastAsia="仿宋_GB2312"/>
                <w:sz w:val="21"/>
                <w:color w:val="000000"/>
              </w:rPr>
              <w:t>相关要求</w:t>
            </w:r>
          </w:p>
          <w:p>
            <w:pPr>
              <w:pStyle w:val="null5"/>
              <w:ind w:right="450"/>
              <w:jc w:val="left"/>
            </w:pPr>
            <w:r>
              <w:rPr>
                <w:rFonts w:ascii="仿宋_GB2312" w:hAnsi="仿宋_GB2312" w:cs="仿宋_GB2312" w:eastAsia="仿宋_GB2312"/>
                <w:sz w:val="21"/>
                <w:color w:val="000000"/>
              </w:rPr>
              <w:t>1.设施设备要求：承接主体与采购方签订合同后应在各镇设立办公场所，作为兽医社会化服务组织管理人员和技术服务团队办公地点，必须包含人员办公室、资料档案室等。要配备必要的办公用品和免疫设备设施。</w:t>
            </w:r>
          </w:p>
          <w:p>
            <w:pPr>
              <w:pStyle w:val="null5"/>
              <w:jc w:val="left"/>
            </w:pPr>
            <w:r>
              <w:rPr>
                <w:rFonts w:ascii="仿宋_GB2312" w:hAnsi="仿宋_GB2312" w:cs="仿宋_GB2312" w:eastAsia="仿宋_GB2312"/>
                <w:sz w:val="21"/>
                <w:color w:val="000000"/>
              </w:rPr>
              <w:t>2.人员管理要求：</w:t>
            </w:r>
          </w:p>
          <w:p>
            <w:pPr>
              <w:pStyle w:val="null5"/>
              <w:ind w:right="210"/>
              <w:jc w:val="both"/>
            </w:pPr>
            <w:r>
              <w:rPr>
                <w:rFonts w:ascii="仿宋_GB2312" w:hAnsi="仿宋_GB2312" w:cs="仿宋_GB2312" w:eastAsia="仿宋_GB2312"/>
                <w:sz w:val="21"/>
                <w:color w:val="000000"/>
              </w:rPr>
              <w:t>（1）配备足量防疫工作人员。原则上使用原有防疫员开展防疫服务工作，并根据人员年龄、健康状况、工作能力、工作状态和业绩进行综合考评，分别对待，妥善逐步解决现有防疫员的去留问题。实行末尾淘汰和主动退出制度，优化防疫队伍人员结构，逐步增长防疫员工资待遇。</w:t>
            </w:r>
          </w:p>
          <w:p>
            <w:pPr>
              <w:pStyle w:val="null5"/>
              <w:ind w:right="210"/>
              <w:jc w:val="both"/>
            </w:pPr>
            <w:r>
              <w:rPr>
                <w:rFonts w:ascii="仿宋_GB2312" w:hAnsi="仿宋_GB2312" w:cs="仿宋_GB2312" w:eastAsia="仿宋_GB2312"/>
                <w:sz w:val="21"/>
                <w:color w:val="000000"/>
              </w:rPr>
              <w:t>（2）服务办公场所人员管理。上班人员应按照国家法定工作日按时到办公场所工作，按照值班制度在非工作 时间及国家法 定节假日，至少有1名工作人员值班。</w:t>
            </w:r>
          </w:p>
          <w:p>
            <w:pPr>
              <w:pStyle w:val="null5"/>
              <w:ind w:right="210"/>
              <w:jc w:val="both"/>
            </w:pPr>
            <w:r>
              <w:rPr>
                <w:rFonts w:ascii="仿宋_GB2312" w:hAnsi="仿宋_GB2312" w:cs="仿宋_GB2312" w:eastAsia="仿宋_GB2312"/>
                <w:sz w:val="21"/>
                <w:color w:val="000000"/>
              </w:rPr>
              <w:t>（3）按照鄂尔多斯市“三农三牧”数字化指挥调度监管平台要求，完成动物疫病信息化建设。</w:t>
            </w:r>
          </w:p>
          <w:p>
            <w:pPr>
              <w:pStyle w:val="null5"/>
              <w:ind w:right="315"/>
              <w:jc w:val="left"/>
            </w:pPr>
            <w:r>
              <w:rPr>
                <w:rFonts w:ascii="仿宋_GB2312" w:hAnsi="仿宋_GB2312" w:cs="仿宋_GB2312" w:eastAsia="仿宋_GB2312"/>
                <w:sz w:val="21"/>
                <w:color w:val="000000"/>
              </w:rPr>
              <w:t>3.免疫密度要求：所有免疫项目群体免疫密度常年保持在90％以上，其中应免畜禽免疫密度达100％； 动物免 疫台账建档 率、动物免疫户口本（或记录簿）持有率达到100％。</w:t>
            </w:r>
          </w:p>
          <w:p>
            <w:pPr>
              <w:pStyle w:val="null5"/>
              <w:ind w:right="315"/>
              <w:jc w:val="left"/>
            </w:pPr>
            <w:r>
              <w:rPr>
                <w:rFonts w:ascii="仿宋_GB2312" w:hAnsi="仿宋_GB2312" w:cs="仿宋_GB2312" w:eastAsia="仿宋_GB2312"/>
                <w:sz w:val="21"/>
                <w:color w:val="000000"/>
              </w:rPr>
              <w:t>4.免疫质量要求： 口蹄疫、高致病性禽流感、小反刍兽疫、猪瘟、高致病性猪蓝耳病、新城疫等群体免疫抗体合格率达到 70％以上。</w:t>
            </w:r>
          </w:p>
          <w:p>
            <w:pPr>
              <w:pStyle w:val="null5"/>
              <w:ind w:right="315"/>
              <w:jc w:val="left"/>
            </w:pPr>
            <w:r>
              <w:rPr>
                <w:rFonts w:ascii="仿宋_GB2312" w:hAnsi="仿宋_GB2312" w:cs="仿宋_GB2312" w:eastAsia="仿宋_GB2312"/>
                <w:sz w:val="21"/>
                <w:color w:val="000000"/>
              </w:rPr>
              <w:t>5.消毒要求：</w:t>
            </w:r>
          </w:p>
          <w:p>
            <w:pPr>
              <w:pStyle w:val="null5"/>
              <w:ind w:right="315"/>
              <w:jc w:val="left"/>
            </w:pPr>
            <w:r>
              <w:rPr>
                <w:rFonts w:ascii="仿宋_GB2312" w:hAnsi="仿宋_GB2312" w:cs="仿宋_GB2312" w:eastAsia="仿宋_GB2312"/>
                <w:sz w:val="21"/>
                <w:color w:val="000000"/>
              </w:rPr>
              <w:t>春季集中免疫时，对动物饲养圈舍和活动场所进行集中消毒，布病新老疫点专项消毒灭源时动用大中型消毒机具对涉及 疫点（自然社）所有养殖户的牛羊圈舍、饲具、活动场所、道路进行专项消毒，要求土地浸透不少于3厘米, 硬化地面连续多次消毒。发生疫情、疑似疫情、畜禽不明原因死亡时按规定开展应急消毒。</w:t>
            </w:r>
          </w:p>
          <w:p>
            <w:pPr>
              <w:pStyle w:val="null5"/>
              <w:ind w:right="315"/>
              <w:jc w:val="left"/>
            </w:pPr>
            <w:r>
              <w:rPr>
                <w:rFonts w:ascii="仿宋_GB2312" w:hAnsi="仿宋_GB2312" w:cs="仿宋_GB2312" w:eastAsia="仿宋_GB2312"/>
                <w:sz w:val="21"/>
                <w:color w:val="000000"/>
              </w:rPr>
              <w:t>6.防疫物资供应：</w:t>
            </w:r>
          </w:p>
          <w:p>
            <w:pPr>
              <w:pStyle w:val="null5"/>
              <w:jc w:val="left"/>
            </w:pPr>
            <w:r>
              <w:rPr>
                <w:rFonts w:ascii="仿宋_GB2312" w:hAnsi="仿宋_GB2312" w:cs="仿宋_GB2312" w:eastAsia="仿宋_GB2312"/>
                <w:sz w:val="21"/>
                <w:color w:val="000000"/>
              </w:rPr>
              <w:t>国家、自治区组织开展的强制免疫和计划免疫病种疫苗由伊金霍洛旗动物疫病预防控制中心提供，承接主体应 根据辖区内畜  禽存栏情况向所在镇动监站领取并使用疫苗，并由专人做好疫苗出入库台账。在强制免疫实施过程中 出现免疫副反应的应及时进行  救治，因救治无效死亡的，按照伊金霍洛旗动物强制免疫应激反应死亡鉴定及补偿制 度上报镇动监站，并按程序进行补偿。免疫疫  苗要确保其运输、储存和使用等环节的全程冷链，妥善管理、确保使 用安全。 消毒药品、防疫器械和防护用品由伊金霍洛旗动物 疫病预防控制中心按需配备。</w:t>
            </w:r>
          </w:p>
          <w:p>
            <w:pPr>
              <w:pStyle w:val="null5"/>
              <w:jc w:val="left"/>
            </w:pPr>
            <w:r>
              <w:rPr>
                <w:rFonts w:ascii="仿宋_GB2312" w:hAnsi="仿宋_GB2312" w:cs="仿宋_GB2312" w:eastAsia="仿宋_GB2312"/>
                <w:sz w:val="21"/>
                <w:color w:val="000000"/>
              </w:rPr>
              <w:t>7.档案管理要求：</w:t>
            </w:r>
          </w:p>
          <w:p>
            <w:pPr>
              <w:pStyle w:val="null5"/>
              <w:jc w:val="left"/>
            </w:pPr>
            <w:r>
              <w:rPr>
                <w:rFonts w:ascii="仿宋_GB2312" w:hAnsi="仿宋_GB2312" w:cs="仿宋_GB2312" w:eastAsia="仿宋_GB2312"/>
                <w:sz w:val="21"/>
                <w:color w:val="000000"/>
              </w:rPr>
              <w:t>春季集中免疫结束后，要在一个星期内健全辖区内养殖场（户）免疫台账、免疫户口本（记录簿），做好工作方案、总结、信息报送、疫情巡查等常规工作的档案资料，验收结束后，将全部档案移交至所在地动监站。表格要使用由旗动 物疫病预防控 制中心提供的样本，承接主体自行打印使用。承接主体在集中免疫期实行周报告制度，每周二对免疫  进展报至镇动监站，发生疫情 开展紧急免疫时，实行日报告制度。</w:t>
            </w:r>
          </w:p>
          <w:p>
            <w:pPr>
              <w:pStyle w:val="null5"/>
              <w:jc w:val="left"/>
            </w:pPr>
            <w:r>
              <w:rPr>
                <w:rFonts w:ascii="仿宋_GB2312" w:hAnsi="仿宋_GB2312" w:cs="仿宋_GB2312" w:eastAsia="仿宋_GB2312"/>
                <w:sz w:val="21"/>
                <w:color w:val="000000"/>
              </w:rPr>
              <w:t>8.样品采集要求：</w:t>
            </w:r>
          </w:p>
          <w:p>
            <w:pPr>
              <w:pStyle w:val="null5"/>
              <w:jc w:val="left"/>
            </w:pPr>
            <w:r>
              <w:rPr>
                <w:rFonts w:ascii="仿宋_GB2312" w:hAnsi="仿宋_GB2312" w:cs="仿宋_GB2312" w:eastAsia="仿宋_GB2312"/>
                <w:sz w:val="21"/>
                <w:color w:val="000000"/>
              </w:rPr>
              <w:t>（1）抗体监测采样要求：</w:t>
            </w:r>
          </w:p>
          <w:p>
            <w:pPr>
              <w:pStyle w:val="null5"/>
              <w:jc w:val="left"/>
            </w:pPr>
            <w:r>
              <w:rPr>
                <w:rFonts w:ascii="仿宋_GB2312" w:hAnsi="仿宋_GB2312" w:cs="仿宋_GB2312" w:eastAsia="仿宋_GB2312"/>
                <w:sz w:val="21"/>
                <w:color w:val="000000"/>
              </w:rPr>
              <w:t>每个镇采集行政村的</w:t>
            </w:r>
            <w:r>
              <w:rPr>
                <w:rFonts w:ascii="仿宋_GB2312" w:hAnsi="仿宋_GB2312" w:cs="仿宋_GB2312" w:eastAsia="仿宋_GB2312"/>
                <w:sz w:val="21"/>
                <w:color w:val="000000"/>
              </w:rPr>
              <w:t>50%的规模养殖场,牛采样3份、猪采样3份、羊采样5份、鸡采样3份;每个镇采集行政村的羊散户采样为防疫员免疫村的养殖户数20%采集，每户采样5份羊血(其中以种公羊优先);鸡散户采样为防疫员免疫村的养殖户数20%采集，每户采样3份鸡血;牛、猪散户采样为防疫员免疫村的养殖户数5%采集，每户采样牛3份猪3份血清样品，</w:t>
            </w:r>
            <w:r>
              <w:rPr>
                <w:rFonts w:ascii="仿宋_GB2312" w:hAnsi="仿宋_GB2312" w:cs="仿宋_GB2312" w:eastAsia="仿宋_GB2312"/>
                <w:sz w:val="21"/>
                <w:color w:val="000000"/>
              </w:rPr>
              <w:t>春、</w:t>
            </w:r>
            <w:r>
              <w:rPr>
                <w:rFonts w:ascii="仿宋_GB2312" w:hAnsi="仿宋_GB2312" w:cs="仿宋_GB2312" w:eastAsia="仿宋_GB2312"/>
                <w:sz w:val="21"/>
                <w:color w:val="000000"/>
              </w:rPr>
              <w:t>秋季集中免疫结束</w:t>
            </w:r>
            <w:r>
              <w:rPr>
                <w:rFonts w:ascii="仿宋_GB2312" w:hAnsi="仿宋_GB2312" w:cs="仿宋_GB2312" w:eastAsia="仿宋_GB2312"/>
                <w:sz w:val="21"/>
                <w:color w:val="000000"/>
              </w:rPr>
              <w:t>1个月后将样品采集并送至旗疫控中心实验室。</w:t>
            </w:r>
          </w:p>
          <w:p>
            <w:pPr>
              <w:pStyle w:val="null5"/>
              <w:jc w:val="left"/>
            </w:pPr>
            <w:r>
              <w:rPr>
                <w:rFonts w:ascii="仿宋_GB2312" w:hAnsi="仿宋_GB2312" w:cs="仿宋_GB2312" w:eastAsia="仿宋_GB2312"/>
                <w:sz w:val="21"/>
                <w:color w:val="000000"/>
              </w:rPr>
              <w:t>（2）其他监测采样要求：</w:t>
            </w:r>
          </w:p>
          <w:p>
            <w:pPr>
              <w:pStyle w:val="null5"/>
              <w:jc w:val="left"/>
            </w:pPr>
            <w:r>
              <w:rPr>
                <w:rFonts w:ascii="仿宋_GB2312" w:hAnsi="仿宋_GB2312" w:cs="仿宋_GB2312" w:eastAsia="仿宋_GB2312"/>
                <w:sz w:val="21"/>
                <w:color w:val="000000"/>
              </w:rPr>
              <w:t>除抗体监测之外，国家、自治区、市级有相关样品采集要求时或发生可疑、疑似疫情需要采样时，必须按要求 及时完成规定样品的采集工作。</w:t>
            </w:r>
          </w:p>
          <w:p>
            <w:pPr>
              <w:pStyle w:val="null5"/>
              <w:ind w:right="165"/>
              <w:jc w:val="left"/>
            </w:pPr>
            <w:r>
              <w:rPr>
                <w:rFonts w:ascii="仿宋_GB2312" w:hAnsi="仿宋_GB2312" w:cs="仿宋_GB2312" w:eastAsia="仿宋_GB2312"/>
                <w:sz w:val="21"/>
                <w:color w:val="000000"/>
              </w:rPr>
              <w:t>9.流行病学调查要求：</w:t>
            </w:r>
          </w:p>
          <w:p>
            <w:pPr>
              <w:pStyle w:val="null5"/>
              <w:ind w:right="165"/>
              <w:jc w:val="left"/>
            </w:pPr>
            <w:r>
              <w:rPr>
                <w:rFonts w:ascii="仿宋_GB2312" w:hAnsi="仿宋_GB2312" w:cs="仿宋_GB2312" w:eastAsia="仿宋_GB2312"/>
                <w:sz w:val="21"/>
                <w:color w:val="000000"/>
              </w:rPr>
              <w:t>流调每个月分别对1个规模化养殖场、一个行政村的2个村民生产小组的20户开展常规流行病学调查，填写流行 病学调查表，并将调查数据和情况统计后报镇动监站。如上级业务部门下达流行病学调查任务时，须及时开展，并将数据统计 和流调结果及 时反馈相关部门。在发生畜禽不明原因死亡时、出险可疑、疑似疫情时应第一时间开展流行病学调查，同时报告伊金霍洛旗动物疫 病预防控制中心和镇动监站。</w:t>
            </w:r>
          </w:p>
          <w:p>
            <w:pPr>
              <w:pStyle w:val="null5"/>
              <w:jc w:val="left"/>
            </w:pPr>
            <w:r>
              <w:rPr>
                <w:rFonts w:ascii="仿宋_GB2312" w:hAnsi="仿宋_GB2312" w:cs="仿宋_GB2312" w:eastAsia="仿宋_GB2312"/>
                <w:sz w:val="21"/>
                <w:color w:val="000000"/>
              </w:rPr>
              <w:t>10.疫病宣传要求：</w:t>
            </w:r>
          </w:p>
          <w:p>
            <w:pPr>
              <w:pStyle w:val="null5"/>
              <w:jc w:val="left"/>
            </w:pPr>
            <w:r>
              <w:rPr>
                <w:rFonts w:ascii="仿宋_GB2312" w:hAnsi="仿宋_GB2312" w:cs="仿宋_GB2312" w:eastAsia="仿宋_GB2312"/>
                <w:sz w:val="21"/>
                <w:color w:val="000000"/>
              </w:rPr>
              <w:t>宣传内容包括动物疫病的免疫项目、免疫程序和动物疫病和人畜共患病的主要症状、传播途径、危害、防控方法、日常消毒灭源方 法等。宣传工作要采取发放纸质明白卡、宣传手册和运营微信、微博等新兴媒体等多种方式进行传播， 明白卡、宣传手册入户发放 率达到100% 。明白卡、宣传手册由承包方组织印刷，业务主管部门进行监督、审核。</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不收取</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服务实施方案</w:t>
            </w:r>
          </w:p>
        </w:tc>
        <w:tc>
          <w:tcPr>
            <w:tcW w:type="dxa" w:w="3115"/>
          </w:tcPr>
          <w:p>
            <w:pPr>
              <w:pStyle w:val="null5"/>
              <w:jc w:val="left"/>
            </w:pPr>
            <w:r>
              <w:rPr>
                <w:rFonts w:ascii="仿宋_GB2312" w:hAnsi="仿宋_GB2312" w:cs="仿宋_GB2312" w:eastAsia="仿宋_GB2312"/>
              </w:rPr>
              <w:t>投标人根据本项目需求编制服务方案。根据提供的服务方案，对方案是否 符合业主的实际、是否符合有关规程以及是否具有较好的可操作性，作出 评价，每项得5分，最高得15分。在此基础上，方案完整、符合社会化服务的需要加10分；方案较为完整、比 较符合社会化服务的需要的加6分；方案较为一般、比较符合社会化服务的加2分；不提供不得分。本项最高得25分。</w:t>
            </w:r>
          </w:p>
        </w:tc>
        <w:tc>
          <w:tcPr>
            <w:tcW w:type="dxa" w:w="1038"/>
          </w:tcPr>
          <w:p>
            <w:pPr>
              <w:pStyle w:val="null5"/>
              <w:jc w:val="right"/>
            </w:pPr>
            <w:r>
              <w:rPr>
                <w:rFonts w:ascii="仿宋_GB2312" w:hAnsi="仿宋_GB2312" w:cs="仿宋_GB2312" w:eastAsia="仿宋_GB2312"/>
              </w:rPr>
              <w:t>25.00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防疫人员管理方案</w:t>
            </w:r>
          </w:p>
        </w:tc>
        <w:tc>
          <w:tcPr>
            <w:tcW w:type="dxa" w:w="3115"/>
          </w:tcPr>
          <w:p>
            <w:pPr>
              <w:pStyle w:val="null5"/>
              <w:jc w:val="left"/>
            </w:pPr>
            <w:r>
              <w:rPr>
                <w:rFonts w:ascii="仿宋_GB2312" w:hAnsi="仿宋_GB2312" w:cs="仿宋_GB2312" w:eastAsia="仿宋_GB2312"/>
              </w:rPr>
              <w:t>供应商根据本项目需求提交开展工作时对于防疫人员的管理方案合。对方案的合理性、科学性、可行性以及地方稳定性等方面进行比较，作出评价，每项得3分，最高得12分。在此基础上，方案内容详尽、合理、可操作性强的加8分；方案内容较为详尽、基本合理、可操作性一般的加4分；方案内容简单、内容存在明显缺漏、可操作性差的加1分；不提供不得分。本项最高得20分。</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需求分析</w:t>
            </w:r>
          </w:p>
        </w:tc>
        <w:tc>
          <w:tcPr>
            <w:tcW w:type="dxa" w:w="3115"/>
          </w:tcPr>
          <w:p>
            <w:pPr>
              <w:pStyle w:val="null5"/>
              <w:jc w:val="left"/>
            </w:pPr>
            <w:r>
              <w:rPr>
                <w:rFonts w:ascii="仿宋_GB2312" w:hAnsi="仿宋_GB2312" w:cs="仿宋_GB2312" w:eastAsia="仿宋_GB2312"/>
              </w:rPr>
              <w:t>对本项目的技术服务需求、科研需求、可靠性和可用性需求、兽医社会化服务的必要性有详细的响应内容，每项得2分，最高得8分。在此基础上，对本项目的技术服务需求、科研需求、可靠性和可用性需求有较为详细的响应内容的加7分；对本项目的技术服务需求、科研需求、可靠性和可用性需求有较为详细的响应内容较为完善的加4分；对本项目的技术服务需求、科研需求、可靠性和可用性需求有较为详细的响应内容不完善的加1分；不提供不得分。本项最高得15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服务承诺</w:t>
            </w:r>
          </w:p>
        </w:tc>
        <w:tc>
          <w:tcPr>
            <w:tcW w:type="dxa" w:w="3115"/>
          </w:tcPr>
          <w:p>
            <w:pPr>
              <w:pStyle w:val="null5"/>
              <w:jc w:val="left"/>
            </w:pPr>
            <w:r>
              <w:rPr>
                <w:rFonts w:ascii="仿宋_GB2312" w:hAnsi="仿宋_GB2312" w:cs="仿宋_GB2312" w:eastAsia="仿宋_GB2312"/>
              </w:rPr>
              <w:t>根据供应商的服务承诺、延伸服务、响应时间、服务体系和人员配备等进 行综合评价，每项得1分，最高得5分。在此基础上，方案内容详尽、合理、明确服务对象、内容、方式等内容可操作性强的加5分；方案内容较为详尽、合理、明确服务对象、内容、方式 等内容可操作性一般的加3分；方案内容简单、内容存在明显缺漏、可操作性差加1分；不提供不得分。本项最高得10分。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投标人提供2022年至今（以合同签订时间为准）的类似服务项目业绩，每 有一项得2.5分，最高得5分（响应文件中须附合同扫描件）注：类似项目指兽医社会化服务等相关项目业绩。</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人员配置</w:t>
            </w:r>
          </w:p>
        </w:tc>
        <w:tc>
          <w:tcPr>
            <w:tcW w:type="dxa" w:w="3115"/>
          </w:tcPr>
          <w:p>
            <w:pPr>
              <w:pStyle w:val="null5"/>
              <w:jc w:val="left"/>
            </w:pPr>
            <w:r>
              <w:rPr>
                <w:rFonts w:ascii="仿宋_GB2312" w:hAnsi="仿宋_GB2312" w:cs="仿宋_GB2312" w:eastAsia="仿宋_GB2312"/>
              </w:rPr>
              <w:t>1、拟派本项目人员中每有1名具有兽医相关专业高级（含副高）及以上职 称得7分，最多得7分（响应文件需附职称证扫描件）。 2、拟派本项目人 员中每有一名农畜牧业相关专业技术人员得4分，最多得8分（响应文件需 附学历证书及劳动合同扫描件）。</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