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札萨克镇养老服务中心</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伊金霍洛旗札萨克镇人民政府</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内蒙古众之鑫项目管理有限公司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ESZCYQS-G-H-250039</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内蒙古众之鑫项目管理有限公司</w:t>
      </w:r>
      <w:r>
        <w:rPr>
          <w:rFonts w:ascii="仿宋_GB2312" w:hAnsi="仿宋_GB2312" w:cs="仿宋_GB2312" w:eastAsia="仿宋_GB2312"/>
        </w:rPr>
        <w:t xml:space="preserve"> 受 </w:t>
      </w:r>
      <w:r>
        <w:rPr>
          <w:rFonts w:ascii="仿宋_GB2312" w:hAnsi="仿宋_GB2312" w:cs="仿宋_GB2312" w:eastAsia="仿宋_GB2312"/>
        </w:rPr>
        <w:t>伊金霍洛旗札萨克镇人民政府</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札萨克镇养老服务中心</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札萨克镇养老服务中心</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ESZCYQS-G-H-250039</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435[2025]00177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50,000,000.00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札萨克镇养老服务中心</w:t>
            </w:r>
          </w:p>
        </w:tc>
        <w:tc>
          <w:tcPr>
            <w:tcW w:type="dxa" w:w="831"/>
          </w:tcPr>
          <w:p>
            <w:pPr>
              <w:pStyle w:val="null5"/>
              <w:jc w:val="right"/>
            </w:pPr>
            <w:r>
              <w:rPr>
                <w:rFonts w:ascii="仿宋_GB2312" w:hAnsi="仿宋_GB2312" w:cs="仿宋_GB2312" w:eastAsia="仿宋_GB2312"/>
              </w:rPr>
              <w:t>14,000.00</w:t>
            </w:r>
          </w:p>
        </w:tc>
        <w:tc>
          <w:tcPr>
            <w:tcW w:type="dxa" w:w="831"/>
          </w:tcPr>
          <w:p>
            <w:pPr>
              <w:pStyle w:val="null5"/>
              <w:jc w:val="right"/>
            </w:pPr>
            <w:r>
              <w:rPr>
                <w:rFonts w:ascii="仿宋_GB2312" w:hAnsi="仿宋_GB2312" w:cs="仿宋_GB2312" w:eastAsia="仿宋_GB2312"/>
              </w:rPr>
              <w:t>50,000,000.00</w:t>
            </w:r>
          </w:p>
        </w:tc>
        <w:tc>
          <w:tcPr>
            <w:tcW w:type="dxa" w:w="831"/>
          </w:tcPr>
          <w:p>
            <w:pPr>
              <w:pStyle w:val="null5"/>
              <w:jc w:val="left"/>
            </w:pPr>
            <w:r>
              <w:rPr>
                <w:rFonts w:ascii="仿宋_GB2312" w:hAnsi="仿宋_GB2312" w:cs="仿宋_GB2312" w:eastAsia="仿宋_GB2312"/>
              </w:rPr>
              <w:t>㎡</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内蒙古众之鑫项目管理有限公司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内蒙古自治区鄂尔多斯市伊金霍洛旗阿勒腾席热镇水天锦绣B座1829室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内蒙古众之鑫项目管理有限公司</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18247702434</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伊金霍洛旗札萨克镇人民政府</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鄂尔多斯市伊金霍洛旗札萨克镇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017212</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杨主任</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13947779750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采购包1：最低评标价法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代理服务费收费标准：以中标金额为基数，参照内工建协【2022】34号文件收取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伊金霍洛旗札萨克镇人民政府</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内蒙古众之鑫项目管理有限公司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审查投标人近三年（2022-2024年度）任意一年经会计师事务所出具的财务审计报告或其基本开户银行出具的近一年内的银行资信证明。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1.提供递交投标文件截止之日前一年内任意一个月的良好缴纳税收的相关凭据。（以税务机关提供的纳税凭据或银行入账单为准） 2.提供递交投标文件截止之日前一年内任意一个月缴纳社会保险的凭证。（以专用收据或社会保险缴纳清单为准）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sz w:val="27"/>
          <w:color w:val="000000"/>
        </w:rPr>
        <w:t>在札萨克镇镇区内采购毛坯房12000-14000㎡，需具备框架楼易改造、改建的使用</w:t>
      </w:r>
      <w:r>
        <w:rPr>
          <w:rFonts w:ascii="仿宋_GB2312" w:hAnsi="仿宋_GB2312" w:cs="仿宋_GB2312" w:eastAsia="仿宋_GB2312"/>
          <w:sz w:val="27"/>
          <w:color w:val="000000"/>
        </w:rPr>
        <w:t>条件。具体内容详见招标文件。</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合同签订之日起30个工作日内完成产权变更。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札萨克镇</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1、网上签约完成并且产权变更完成后，达到付款条件起7日，支付合同总金额的40.00%</w:t>
            </w:r>
          </w:p>
          <w:p>
            <w:pPr>
              <w:pStyle w:val="null5"/>
              <w:jc w:val="left"/>
            </w:pPr>
            <w:r>
              <w:rPr>
                <w:rFonts w:ascii="仿宋_GB2312" w:hAnsi="仿宋_GB2312" w:cs="仿宋_GB2312" w:eastAsia="仿宋_GB2312"/>
              </w:rPr>
              <w:t>2、 签订合同之日起六个月后，达到付款条件起7日，支付合同总金额的40.00%</w:t>
            </w:r>
          </w:p>
          <w:p>
            <w:pPr>
              <w:pStyle w:val="null5"/>
              <w:jc w:val="left"/>
            </w:pPr>
            <w:r>
              <w:rPr>
                <w:rFonts w:ascii="仿宋_GB2312" w:hAnsi="仿宋_GB2312" w:cs="仿宋_GB2312" w:eastAsia="仿宋_GB2312"/>
              </w:rPr>
              <w:t>3、签订合同之日起满一年后，达到付款条件起7日，支付合同总金额的20.00%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标的名称：札萨克镇养老服务中心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所投建筑物（毛坯）平米数在12000-14000平方米内，需附证明材料。</w:t>
            </w:r>
          </w:p>
        </w:tc>
      </w:tr>
      <w:tr>
        <w:tc>
          <w:tcPr>
            <w:tcW w:type="dxa" w:w="2769"/>
          </w:tcPr>
          <w:p>
            <w:pPr>
              <w:pStyle w:val="null5"/>
              <w:jc w:val="left"/>
            </w:pPr>
            <w:r>
              <w:rPr>
                <w:rFonts w:ascii="仿宋_GB2312" w:hAnsi="仿宋_GB2312" w:cs="仿宋_GB2312" w:eastAsia="仿宋_GB2312"/>
              </w:rPr>
              <w:t>2</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所投建筑物（毛坯）需具备框架楼易改造、改建的使用条件。</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rPr>
              <w:t>因本项目的特殊性，所投建筑物（毛坯）地面楼层 低于六层。</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19"/>
                <w:color w:val="000000"/>
              </w:rPr>
              <w:t>说明：打</w:t>
            </w:r>
            <w:r>
              <w:rPr>
                <w:rFonts w:ascii="仿宋_GB2312" w:hAnsi="仿宋_GB2312" w:cs="仿宋_GB2312" w:eastAsia="仿宋_GB2312"/>
                <w:sz w:val="19"/>
                <w:color w:val="000000"/>
              </w:rPr>
              <w:t>“★”</w:t>
            </w:r>
            <w:r>
              <w:rPr>
                <w:rFonts w:ascii="仿宋_GB2312" w:hAnsi="仿宋_GB2312" w:cs="仿宋_GB2312" w:eastAsia="仿宋_GB2312"/>
                <w:sz w:val="19"/>
                <w:color w:val="000000"/>
              </w:rPr>
              <w:t>号条款为实质性条款，若有任何一条负偏离或不满足则导致投标无效。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详见附件：投标人业绩情况表</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