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2025年主城区片区节点及沿线道路补植补栽工程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伊金霍洛旗园林绿化中心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恒诺鼎诚项目管理有限公司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ESZCYQS-C-G-250045</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恒诺鼎诚项目管理有限公司</w:t>
      </w:r>
      <w:r>
        <w:rPr>
          <w:rFonts w:ascii="仿宋_GB2312" w:hAnsi="仿宋_GB2312" w:cs="仿宋_GB2312" w:eastAsia="仿宋_GB2312"/>
        </w:rPr>
        <w:t xml:space="preserve"> 受 </w:t>
      </w:r>
      <w:r>
        <w:rPr>
          <w:rFonts w:ascii="仿宋_GB2312" w:hAnsi="仿宋_GB2312" w:cs="仿宋_GB2312" w:eastAsia="仿宋_GB2312"/>
        </w:rPr>
        <w:t>伊金霍洛旗园林绿化中心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2025年主城区片区节点及沿线道路补植补栽工程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2025年主城区片区节点及沿线道路补植补栽工程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ESZCYQS-C-G-250045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435[2025]00235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1,389,585.00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2025年主城区节点及沿线道路补植补栽工程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1,389,585.00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恒诺鼎诚项目管理有限公司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内蒙古自治区包头市青山区稀土高新区黄河大街86号时代广场C座2111室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014030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殷冰洁</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15848604102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伊金霍洛旗园林绿化中心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鄂尔多斯市伊金霍洛旗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工程业务室</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8960556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代理服务费收费标准：中标价的1.5%</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伊金霍洛旗园林绿化中心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恒诺鼎诚项目管理有限公司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 xml:space="preserve"> </w:t>
      </w:r>
      <w:r>
        <w:rPr>
          <w:rFonts w:ascii="仿宋_GB2312" w:hAnsi="仿宋_GB2312" w:cs="仿宋_GB2312" w:eastAsia="仿宋_GB2312"/>
        </w:rPr>
        <w:t>2025年主城区片区节点及沿线道路补植补栽工程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总工期6个月，施工工期为1个月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伊金霍洛旗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1、验收合格，达到付款条件起7日，支付合同总金额的100.00%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标的名称：2025年主城区节点及沿线道路补植补栽工程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详见附件</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技术部分15.00分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报价得分70.00分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内容完整性和编制水平（4分）</w:t>
            </w:r>
          </w:p>
        </w:tc>
        <w:tc>
          <w:tcPr>
            <w:tcW w:type="dxa" w:w="3115"/>
          </w:tcPr>
          <w:p>
            <w:pPr>
              <w:pStyle w:val="null5"/>
              <w:jc w:val="left"/>
            </w:pPr>
            <w:r>
              <w:rPr>
                <w:rFonts w:ascii="仿宋_GB2312" w:hAnsi="仿宋_GB2312" w:cs="仿宋_GB2312" w:eastAsia="仿宋_GB2312"/>
              </w:rPr>
              <w:t>根据投标文件的内容完整、科学有效性、有针对性及编制水平，酌情打分。（0—4分）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施工方案与技术措施（3分）</w:t>
            </w:r>
          </w:p>
        </w:tc>
        <w:tc>
          <w:tcPr>
            <w:tcW w:type="dxa" w:w="3115"/>
          </w:tcPr>
          <w:p>
            <w:pPr>
              <w:pStyle w:val="null5"/>
              <w:jc w:val="left"/>
            </w:pPr>
            <w:r>
              <w:rPr>
                <w:rFonts w:ascii="仿宋_GB2312" w:hAnsi="仿宋_GB2312" w:cs="仿宋_GB2312" w:eastAsia="仿宋_GB2312"/>
              </w:rPr>
              <w:t>根据施工方案的合理性，技术措施对工程质量、工期和施工安全保障的针对性，酌情打分。（0—3分）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质量管理体系与措施（2分）</w:t>
            </w:r>
          </w:p>
        </w:tc>
        <w:tc>
          <w:tcPr>
            <w:tcW w:type="dxa" w:w="3115"/>
          </w:tcPr>
          <w:p>
            <w:pPr>
              <w:pStyle w:val="null5"/>
              <w:jc w:val="left"/>
            </w:pPr>
            <w:r>
              <w:rPr>
                <w:rFonts w:ascii="仿宋_GB2312" w:hAnsi="仿宋_GB2312" w:cs="仿宋_GB2312" w:eastAsia="仿宋_GB2312"/>
              </w:rPr>
              <w:t>根据质量目标、通病治理及质量控制、质量保证，酌情打分。（0—2分）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安全管理体系与措施（2分）</w:t>
            </w:r>
          </w:p>
        </w:tc>
        <w:tc>
          <w:tcPr>
            <w:tcW w:type="dxa" w:w="3115"/>
          </w:tcPr>
          <w:p>
            <w:pPr>
              <w:pStyle w:val="null5"/>
              <w:jc w:val="left"/>
            </w:pPr>
            <w:r>
              <w:rPr>
                <w:rFonts w:ascii="仿宋_GB2312" w:hAnsi="仿宋_GB2312" w:cs="仿宋_GB2312" w:eastAsia="仿宋_GB2312"/>
              </w:rPr>
              <w:t>根据安全管理体系与措施的合理、可靠、有效性，酌情打分。（0—2分）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环境保护管理体系与措施（2分）</w:t>
            </w:r>
          </w:p>
        </w:tc>
        <w:tc>
          <w:tcPr>
            <w:tcW w:type="dxa" w:w="3115"/>
          </w:tcPr>
          <w:p>
            <w:pPr>
              <w:pStyle w:val="null5"/>
              <w:jc w:val="left"/>
            </w:pPr>
            <w:r>
              <w:rPr>
                <w:rFonts w:ascii="仿宋_GB2312" w:hAnsi="仿宋_GB2312" w:cs="仿宋_GB2312" w:eastAsia="仿宋_GB2312"/>
              </w:rPr>
              <w:t>根据制定的各项文明施工、环境保护规章制度，落实文明施工监督管理，保证文明施工环境的方案，酌情打分。（0—2分）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工程进度计划与措施（1分）</w:t>
            </w:r>
          </w:p>
        </w:tc>
        <w:tc>
          <w:tcPr>
            <w:tcW w:type="dxa" w:w="3115"/>
          </w:tcPr>
          <w:p>
            <w:pPr>
              <w:pStyle w:val="null5"/>
              <w:jc w:val="left"/>
            </w:pPr>
            <w:r>
              <w:rPr>
                <w:rFonts w:ascii="仿宋_GB2312" w:hAnsi="仿宋_GB2312" w:cs="仿宋_GB2312" w:eastAsia="仿宋_GB2312"/>
              </w:rPr>
              <w:t>根据工程进度计划与措施的合理、可靠、有效性，酌情打分。（0—1分）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资源配备计划（1分）</w:t>
            </w:r>
          </w:p>
        </w:tc>
        <w:tc>
          <w:tcPr>
            <w:tcW w:type="dxa" w:w="3115"/>
          </w:tcPr>
          <w:p>
            <w:pPr>
              <w:pStyle w:val="null5"/>
              <w:jc w:val="left"/>
            </w:pPr>
            <w:r>
              <w:rPr>
                <w:rFonts w:ascii="仿宋_GB2312" w:hAnsi="仿宋_GB2312" w:cs="仿宋_GB2312" w:eastAsia="仿宋_GB2312"/>
              </w:rPr>
              <w:t>根据承诺投入的劳动力与施工设备数量、种类的全面、合理、有效性，酌情打分。（0—1分）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企业业绩（10分）</w:t>
            </w:r>
          </w:p>
        </w:tc>
        <w:tc>
          <w:tcPr>
            <w:tcW w:type="dxa" w:w="3115"/>
          </w:tcPr>
          <w:p>
            <w:pPr>
              <w:pStyle w:val="null5"/>
              <w:jc w:val="left"/>
            </w:pPr>
            <w:r>
              <w:rPr>
                <w:rFonts w:ascii="仿宋_GB2312" w:hAnsi="仿宋_GB2312" w:cs="仿宋_GB2312" w:eastAsia="仿宋_GB2312"/>
              </w:rPr>
              <w:t>企业业绩（10分） 投标企业近年（2022年至今）（以合同签订时间为准）每提供一项（不限合同金额、不限规模）类似业绩得2.5分，最多得10分（投标文件需附合同复印件）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主要人员 (5分)</w:t>
            </w:r>
          </w:p>
        </w:tc>
        <w:tc>
          <w:tcPr>
            <w:tcW w:type="dxa" w:w="3115"/>
          </w:tcPr>
          <w:p>
            <w:pPr>
              <w:pStyle w:val="null5"/>
              <w:jc w:val="left"/>
            </w:pPr>
            <w:r>
              <w:rPr>
                <w:rFonts w:ascii="仿宋_GB2312" w:hAnsi="仿宋_GB2312" w:cs="仿宋_GB2312" w:eastAsia="仿宋_GB2312"/>
              </w:rPr>
              <w:t>园林绿化或者园林中级及以上职称证书有一个得2.5分，最高得5分。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70.00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5.00%</w:t>
            </w:r>
          </w:p>
        </w:tc>
        <w:tc>
          <w:tcPr>
            <w:tcW w:type="dxa" w:w="2492"/>
          </w:tcPr>
          <w:p>
            <w:pPr>
              <w:pStyle w:val="null5"/>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