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行业统计调查服务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伊金霍洛旗统计局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内蒙古佳景工程咨询有限责任公司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ESZCYQS-C-F-250041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内蒙古佳景工程咨询有限责任公司</w:t>
      </w:r>
      <w:r>
        <w:rPr>
          <w:rFonts w:ascii="仿宋_GB2312" w:hAnsi="仿宋_GB2312" w:cs="仿宋_GB2312" w:eastAsia="仿宋_GB2312"/>
        </w:rPr>
        <w:t xml:space="preserve"> 受 </w:t>
      </w:r>
      <w:r>
        <w:rPr>
          <w:rFonts w:ascii="仿宋_GB2312" w:hAnsi="仿宋_GB2312" w:cs="仿宋_GB2312" w:eastAsia="仿宋_GB2312"/>
        </w:rPr>
        <w:t>伊金霍洛旗统计局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行业统计调查服务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行业统计调查服务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ESZCYQS-C-F-250041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435[2025]00204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731,500.00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行业统计调查服务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731,500.00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内蒙古佳景工程咨询有限责任公司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内蒙古自治区鄂尔多斯市伊金霍洛旗富贵苑</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韩利平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17314345816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伊金霍洛旗统计局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武秋艳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8969433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代理服务费收费标准：中标金额的1.5%</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伊金霍洛旗统计局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内蒙古佳景工程咨询有限责任公司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行业统计调查服务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合同签订后12个月</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1、支付比例50%，甲方于本协议签订后向乙方支付服务费的50% ，达到付款条件起15日，支付合同总金额的50.00%</w:t>
            </w:r>
          </w:p>
          <w:p>
            <w:pPr>
              <w:pStyle w:val="null5"/>
              <w:jc w:val="left"/>
            </w:pPr>
            <w:r>
              <w:rPr>
                <w:rFonts w:ascii="仿宋_GB2312" w:hAnsi="仿宋_GB2312" w:cs="仿宋_GB2312" w:eastAsia="仿宋_GB2312"/>
              </w:rPr>
              <w:t>2、支付比例30%，中期服务开始时支付服务费的30% ，达到付款条件起15日，支付合同总金额的30.00%</w:t>
            </w:r>
          </w:p>
          <w:p>
            <w:pPr>
              <w:pStyle w:val="null5"/>
              <w:jc w:val="left"/>
            </w:pPr>
            <w:r>
              <w:rPr>
                <w:rFonts w:ascii="仿宋_GB2312" w:hAnsi="仿宋_GB2312" w:cs="仿宋_GB2312" w:eastAsia="仿宋_GB2312"/>
              </w:rPr>
              <w:t>3、支付比例20%，服务期满验收合格后付清剩余20%的服务费，达到付款条件起15日，支付合同总金额的20.00%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标的名称：行业统计调查服务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rPr>
              <w:t>负责县域社会经济基本情况统计、科技统计、文化产业统计、妇女儿童状况统计、互联网经济统计、企</w:t>
            </w:r>
            <w:r>
              <w:rPr>
                <w:rFonts w:ascii="仿宋_GB2312" w:hAnsi="仿宋_GB2312" w:cs="仿宋_GB2312" w:eastAsia="仿宋_GB2312"/>
                <w:sz w:val="24"/>
              </w:rPr>
              <w:t>业创新活动统计、企业</w:t>
            </w:r>
            <w:r>
              <w:rPr>
                <w:rFonts w:ascii="仿宋_GB2312" w:hAnsi="仿宋_GB2312" w:cs="仿宋_GB2312" w:eastAsia="仿宋_GB2312"/>
                <w:sz w:val="24"/>
              </w:rPr>
              <w:t>(单位）研发活动统计、基本单位统计、交通邮电业统计等行业统计调查服务。</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项目需求服务方案</w:t>
            </w:r>
          </w:p>
        </w:tc>
        <w:tc>
          <w:tcPr>
            <w:tcW w:type="dxa" w:w="3115"/>
          </w:tcPr>
          <w:p>
            <w:pPr>
              <w:pStyle w:val="null5"/>
              <w:jc w:val="left"/>
            </w:pPr>
            <w:r>
              <w:rPr>
                <w:rFonts w:ascii="仿宋_GB2312" w:hAnsi="仿宋_GB2312" w:cs="仿宋_GB2312" w:eastAsia="仿宋_GB2312"/>
              </w:rPr>
              <w:t>项目需求理解及服务编制方案全面、合理、可行等内容进行评审。方案内容科学可行、详细完整、非常合理的得14分；方案内容比较完整、比较合理的得11分；方案内容基本完整、基本合理的得8分；方案内容不完整、不合理的得5分；方案内容较差、完全不合理的得2分；服务方案较差或未提供不得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项目解读和理解</w:t>
            </w:r>
          </w:p>
        </w:tc>
        <w:tc>
          <w:tcPr>
            <w:tcW w:type="dxa" w:w="3115"/>
          </w:tcPr>
          <w:p>
            <w:pPr>
              <w:pStyle w:val="null5"/>
              <w:jc w:val="left"/>
            </w:pPr>
            <w:r>
              <w:rPr>
                <w:rFonts w:ascii="仿宋_GB2312" w:hAnsi="仿宋_GB2312" w:cs="仿宋_GB2312" w:eastAsia="仿宋_GB2312"/>
              </w:rPr>
              <w:t>根据针对本项目的解读和理解程度进行综合打分，其中，对本项目有深刻理解，相关内容描述完整、合理、科学可行得10分；对项目理解程度较为深刻，相关内容描述比较完整、合理、科学可行得7分；对项目理解程度一般，相关内容描述一般得4分；对项目有解读和理解，但逻辑思维混乱，没有可行性得1分；方案较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项目进度方案</w:t>
            </w:r>
          </w:p>
        </w:tc>
        <w:tc>
          <w:tcPr>
            <w:tcW w:type="dxa" w:w="3115"/>
          </w:tcPr>
          <w:p>
            <w:pPr>
              <w:pStyle w:val="null5"/>
              <w:jc w:val="left"/>
            </w:pPr>
            <w:r>
              <w:rPr>
                <w:rFonts w:ascii="仿宋_GB2312" w:hAnsi="仿宋_GB2312" w:cs="仿宋_GB2312" w:eastAsia="仿宋_GB2312"/>
              </w:rPr>
              <w:t>根据项目实施要求，对照供应商提供的进度安排方案进行综合打分，其中，进度安排计划全面合理、高效，得10分；进度安排计划比较全面合理、科学，得7分；进度安排计划相对全面合理，得4分；进度安排仅符合基本要求，得1分；进度安排较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质量保证服务方案</w:t>
            </w:r>
          </w:p>
        </w:tc>
        <w:tc>
          <w:tcPr>
            <w:tcW w:type="dxa" w:w="3115"/>
          </w:tcPr>
          <w:p>
            <w:pPr>
              <w:pStyle w:val="null5"/>
              <w:jc w:val="left"/>
            </w:pPr>
            <w:r>
              <w:rPr>
                <w:rFonts w:ascii="仿宋_GB2312" w:hAnsi="仿宋_GB2312" w:cs="仿宋_GB2312" w:eastAsia="仿宋_GB2312"/>
              </w:rPr>
              <w:t>根据供应商提供的质量保证服务方案内容、详细，承诺响应、措施的合理性、可行性、完整性等综合评价并酌情给分，其中，方案完整、科学，安排 合理、措施得力的得10分；方案较完整、较科学， 安排较合理、措施较得力的得7分；方案完整性一般、科学性一般，安排合理性一般、措施一般的得4分；方案仅符合基本要求，得1分；方案较差或未提供不得分。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服务承诺及特殊情况下的应急方案</w:t>
            </w:r>
          </w:p>
        </w:tc>
        <w:tc>
          <w:tcPr>
            <w:tcW w:type="dxa" w:w="3115"/>
          </w:tcPr>
          <w:p>
            <w:pPr>
              <w:pStyle w:val="null5"/>
              <w:jc w:val="left"/>
            </w:pPr>
            <w:r>
              <w:rPr>
                <w:rFonts w:ascii="仿宋_GB2312" w:hAnsi="仿宋_GB2312" w:cs="仿宋_GB2312" w:eastAsia="仿宋_GB2312"/>
              </w:rPr>
              <w:t>服务承诺和应急方案中应包含承诺、响应、内容、方式、应急方案等内容,根据服务承诺和应急方案是否全面、具体、合理、可行性进行打分，其中，服务承诺和应急方案全面、具体、合理、可行性强得10分；服务承诺和应急方案全面、合理、可行性较强得7分；服务承诺和应急方案一般、可行性一般得4分；服务承诺和应急方案方案仅符合基本要求，得1分；较差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企业内部制度建设</w:t>
            </w:r>
          </w:p>
        </w:tc>
        <w:tc>
          <w:tcPr>
            <w:tcW w:type="dxa" w:w="3115"/>
          </w:tcPr>
          <w:p>
            <w:pPr>
              <w:pStyle w:val="null5"/>
              <w:jc w:val="left"/>
            </w:pPr>
            <w:r>
              <w:rPr>
                <w:rFonts w:ascii="仿宋_GB2312" w:hAnsi="仿宋_GB2312" w:cs="仿宋_GB2312" w:eastAsia="仿宋_GB2312"/>
              </w:rPr>
              <w:t>针对本项目的情况及特点，有严格、健全的企业内部管理制度，包括但不限于人力资源管理、财务管理、物资管理、安全管理详细完整的得6分；方案基本完整、基本合理的得3分；方案不完整、不合理的得1分。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供应商近三年（2022年1月至今）具有与本项目服务要求相同或类似服务项目业绩，每有一项得5分最高得15分。（类似服务项目业绩指：劳务服务或人力资源服务或辅助性服务，须提供合同原件扫描件）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拟安排的项目管理人员</w:t>
            </w:r>
          </w:p>
        </w:tc>
        <w:tc>
          <w:tcPr>
            <w:tcW w:type="dxa" w:w="3115"/>
          </w:tcPr>
          <w:p>
            <w:pPr>
              <w:pStyle w:val="null5"/>
              <w:jc w:val="left"/>
            </w:pPr>
            <w:r>
              <w:rPr>
                <w:rFonts w:ascii="仿宋_GB2312" w:hAnsi="仿宋_GB2312" w:cs="仿宋_GB2312" w:eastAsia="仿宋_GB2312"/>
              </w:rPr>
              <w:t>（1）拟派项目管理人员每提供1人得3.5分，最高得7分。（2）拟派项目 管理人员具有大专及以上文化程度，有相关服务的经验，有较强的组织领 导能力和协调能力，年龄55周岁以下；每提供1个人的身份证、学历证明 、简历证明及与本单位签订的劳动合同得4分，最高得8分。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