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镇区内道路清扫服务项目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伊金霍洛旗乌兰木伦镇人民政府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内蒙古恒允项目管理有限公司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WLMLZCS-C-G-250006</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内蒙古恒允项目管理有限公司</w:t>
      </w:r>
      <w:r>
        <w:rPr>
          <w:rFonts w:ascii="仿宋_GB2312" w:hAnsi="仿宋_GB2312" w:cs="仿宋_GB2312" w:eastAsia="仿宋_GB2312"/>
        </w:rPr>
        <w:t xml:space="preserve"> 受 </w:t>
      </w:r>
      <w:r>
        <w:rPr>
          <w:rFonts w:ascii="仿宋_GB2312" w:hAnsi="仿宋_GB2312" w:cs="仿宋_GB2312" w:eastAsia="仿宋_GB2312"/>
        </w:rPr>
        <w:t>伊金霍洛旗乌兰木伦镇人民政府</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镇区内道路清扫服务项目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镇区内道路清扫服务项目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WLMLZCS-C-G-250006</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435005[2025]00032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1,360,000.00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镇区内道路清扫服务项目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1,360,000.00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内蒙古恒允项目管理有限公司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内蒙古自治区鄂尔多斯市东胜区</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康先生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15340784695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伊金霍洛旗乌兰木伦镇人民政府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伊金霍洛旗乌兰木伦镇和谐大厦</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017209</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19975675552</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代理服务费收费标准：以中标金额为基数，中标价*1.5%为招标代理服务费金额</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伊金霍洛旗乌兰木伦镇人民政府</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内蒙古恒允项目管理有限公司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镇区内道路清扫服务</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自合同签订之日起1年内</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1、第一季度支付25%，达到付款条件起30日，支付合同总金额的25.00%</w:t>
            </w:r>
          </w:p>
          <w:p>
            <w:pPr>
              <w:pStyle w:val="null5"/>
              <w:jc w:val="left"/>
            </w:pPr>
            <w:r>
              <w:rPr>
                <w:rFonts w:ascii="仿宋_GB2312" w:hAnsi="仿宋_GB2312" w:cs="仿宋_GB2312" w:eastAsia="仿宋_GB2312"/>
              </w:rPr>
              <w:t>2、第二季度支付25%，达到付款条件起30日，支付合同总金额的25.00%</w:t>
            </w:r>
          </w:p>
          <w:p>
            <w:pPr>
              <w:pStyle w:val="null5"/>
              <w:jc w:val="left"/>
            </w:pPr>
            <w:r>
              <w:rPr>
                <w:rFonts w:ascii="仿宋_GB2312" w:hAnsi="仿宋_GB2312" w:cs="仿宋_GB2312" w:eastAsia="仿宋_GB2312"/>
              </w:rPr>
              <w:t>3、第三季度支付25%，达到付款条件起30日，支付合同总金额的25.00%</w:t>
            </w:r>
          </w:p>
          <w:p>
            <w:pPr>
              <w:pStyle w:val="null5"/>
              <w:jc w:val="left"/>
            </w:pPr>
            <w:r>
              <w:rPr>
                <w:rFonts w:ascii="仿宋_GB2312" w:hAnsi="仿宋_GB2312" w:cs="仿宋_GB2312" w:eastAsia="仿宋_GB2312"/>
              </w:rPr>
              <w:t>4、第四季度支付25%，达到付款条件起30日，支付合同总金额的25.00%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标的名称：镇区内道路清扫服务项目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32"/>
              </w:rPr>
              <w:t>乌兰木伦镇镇区内所有道路清扫服务（具体包括：阿大线</w:t>
            </w:r>
            <w:r>
              <w:rPr>
                <w:rFonts w:ascii="仿宋_GB2312" w:hAnsi="仿宋_GB2312" w:cs="仿宋_GB2312" w:eastAsia="仿宋_GB2312"/>
                <w:sz w:val="32"/>
              </w:rPr>
              <w:t>46公里处至大转盘、阿大线收费站南至红绿灯、天意汽修红绿灯至银鼎十字路口（路西）、天隆公寓至李家畔桥头、健康路至滨河路接口处、光亚供销社门口至三号桥、旧市场东门至小农行、新忽马线输油管道至阿大线、上湾小学门口等镇区内所有道路。）</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审查供应商2023或2024年度经会计师事务所出具的财务审计报告或其基本开户银行出具的近一年内的银行资信证明。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1.提供递交响应文件截止之日前一年内（至少一个月）的良好缴纳税收的相关凭据。（以税务机关提供的纳税凭据或银行入账单为准） 2.提供递交响应文件截止之日前一年内（至少一个月）缴纳社会保险的凭证。（以专用收据或社会保险缴纳清单为准）注：其他组织和自然人也需要提供缴纳税收的凭据和缴纳社保的凭证。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根据提供的服务方案的全面性、合理性、科学性与针对本项目的工作制定服务方案的可行性等进行综合评分；方案全面、合理、科学、可行性等高的得7（含）-10分，方案较合理、全面、切实可行的得4（含）-7分，方案一般，表述不清晰、不全面的得1（含）-4分，无表述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队伍建设</w:t>
            </w:r>
          </w:p>
        </w:tc>
        <w:tc>
          <w:tcPr>
            <w:tcW w:type="dxa" w:w="3115"/>
          </w:tcPr>
          <w:p>
            <w:pPr>
              <w:pStyle w:val="null5"/>
              <w:jc w:val="left"/>
            </w:pPr>
            <w:r>
              <w:rPr>
                <w:rFonts w:ascii="仿宋_GB2312" w:hAnsi="仿宋_GB2312" w:cs="仿宋_GB2312" w:eastAsia="仿宋_GB2312"/>
              </w:rPr>
              <w:t>根据提供的人员管理方案的完整性、明确性、清晰性等进行综合评分；方案完整、明确、清晰性等高的得7（含）-10分，方案较完善、明确的得4（含）-7分，方案一般，表述不清晰、不全面的1（含）-4分，无表述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安全文明保障措施</w:t>
            </w:r>
          </w:p>
        </w:tc>
        <w:tc>
          <w:tcPr>
            <w:tcW w:type="dxa" w:w="3115"/>
          </w:tcPr>
          <w:p>
            <w:pPr>
              <w:pStyle w:val="null5"/>
              <w:jc w:val="left"/>
            </w:pPr>
            <w:r>
              <w:rPr>
                <w:rFonts w:ascii="仿宋_GB2312" w:hAnsi="仿宋_GB2312" w:cs="仿宋_GB2312" w:eastAsia="仿宋_GB2312"/>
              </w:rPr>
              <w:t>根据提供的安全文明保障措施的健全性，具体性、可行性，特别是在典型位置的安全措施的科学性、可靠性等进行综合评分；措施具体、健全、科学、可靠性等高的得7（含）-10分，措施较科学、具体、可行的得4（含）-7分，措施一般，表述不清晰、不全面的1（含）-4分，无表述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整治环境环卫管理</w:t>
            </w:r>
          </w:p>
        </w:tc>
        <w:tc>
          <w:tcPr>
            <w:tcW w:type="dxa" w:w="3115"/>
          </w:tcPr>
          <w:p>
            <w:pPr>
              <w:pStyle w:val="null5"/>
              <w:jc w:val="left"/>
            </w:pPr>
            <w:r>
              <w:rPr>
                <w:rFonts w:ascii="仿宋_GB2312" w:hAnsi="仿宋_GB2312" w:cs="仿宋_GB2312" w:eastAsia="仿宋_GB2312"/>
              </w:rPr>
              <w:t>整治环境环卫管理，根据内容是否详细、条理是否清晰、是否符合本招标项目实际情况、是否具有专业性、系统性及可操作性等方面给予评分，方案清晰完善的得7（含）-10分，方案较完善、明确的得4（含）-7分，方案一般，表述不清晰、不全面的1（含）-4分，无表述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配备设置</w:t>
            </w:r>
          </w:p>
        </w:tc>
        <w:tc>
          <w:tcPr>
            <w:tcW w:type="dxa" w:w="3115"/>
          </w:tcPr>
          <w:p>
            <w:pPr>
              <w:pStyle w:val="null5"/>
              <w:jc w:val="left"/>
            </w:pPr>
            <w:r>
              <w:rPr>
                <w:rFonts w:ascii="仿宋_GB2312" w:hAnsi="仿宋_GB2312" w:cs="仿宋_GB2312" w:eastAsia="仿宋_GB2312"/>
              </w:rPr>
              <w:t>根据作业工具配置、车辆状况和作业机械的合理性、全面性等进行综合评分；配备合理、全面性等较高得的7（含）-10分，配备较合理、全面的得4（含）-7分，配备一般，表述不清晰、不全面的得1（含）-4分，无表述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应急保障作业标准</w:t>
            </w:r>
          </w:p>
        </w:tc>
        <w:tc>
          <w:tcPr>
            <w:tcW w:type="dxa" w:w="3115"/>
          </w:tcPr>
          <w:p>
            <w:pPr>
              <w:pStyle w:val="null5"/>
              <w:jc w:val="left"/>
            </w:pPr>
            <w:r>
              <w:rPr>
                <w:rFonts w:ascii="仿宋_GB2312" w:hAnsi="仿宋_GB2312" w:cs="仿宋_GB2312" w:eastAsia="仿宋_GB2312"/>
              </w:rPr>
              <w:t>应急处理方案合理可行、有针对性的（主要为垃圾清运、突发垃圾胡乱倾倒事件、常态化疫情防控等应急处置方案），配备有针对性、全面性等较高得的7（含）-10分，配备较合理、全面的得4（含）-7分，配备一般，表述不清晰、不全面的得1（含）-4分，无表述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特殊季节保障措施</w:t>
            </w:r>
          </w:p>
        </w:tc>
        <w:tc>
          <w:tcPr>
            <w:tcW w:type="dxa" w:w="3115"/>
          </w:tcPr>
          <w:p>
            <w:pPr>
              <w:pStyle w:val="null5"/>
              <w:jc w:val="left"/>
            </w:pPr>
            <w:r>
              <w:rPr>
                <w:rFonts w:ascii="仿宋_GB2312" w:hAnsi="仿宋_GB2312" w:cs="仿宋_GB2312" w:eastAsia="仿宋_GB2312"/>
              </w:rPr>
              <w:t>根据特殊季节作出的针对措施的完善性、合理性、可行性等进行综合评分；措施合理、完善、可行性等高的得7（含）-10分，措施较完善、合理的得4（含）-7分，措施一般，表述不清晰、不全面的得1（含）-4分，无表述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供应商2022年至今承揽过的类似业绩，每有一项得5分，最高得20分。（响应文件中须提供合同扫描件）</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