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上湾新市场一楼消防维修改造项目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伊金霍洛旗乌兰木伦镇人民政府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内蒙古恒允项目管理有限公司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WLMLZCS-C-G-250008</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内蒙古恒允项目管理有限公司</w:t>
      </w:r>
      <w:r>
        <w:rPr>
          <w:rFonts w:ascii="仿宋_GB2312" w:hAnsi="仿宋_GB2312" w:cs="仿宋_GB2312" w:eastAsia="仿宋_GB2312"/>
        </w:rPr>
        <w:t xml:space="preserve"> 受 </w:t>
      </w:r>
      <w:r>
        <w:rPr>
          <w:rFonts w:ascii="仿宋_GB2312" w:hAnsi="仿宋_GB2312" w:cs="仿宋_GB2312" w:eastAsia="仿宋_GB2312"/>
        </w:rPr>
        <w:t>伊金霍洛旗乌兰木伦镇人民政府</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上湾新市场一楼消防维修改造项目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上湾新市场一楼消防维修改造项目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WLMLZCS-C-G-250008</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435005[2025]00034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2,371,999.00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上湾新市场一楼消防维修改造项目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2,371,999.00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格要求：(1)供应商须具备建设行政主管部门核发的【建筑工程施工总承包叁级】（含）以上资质，如供应商已申办2020年11月30日建市〔2020〕94号《住房和城乡建设部关于印发建设工程企业资质管理制度改革方案的通知》中住建部要求的最新资质，须具备建设行政主管部门颁发的【施工综合资质】或【建筑工程施工总承包乙级】（含）以上资质，且具备有效的安全生产许可证，并在人员、设备、资金等方面具有相应的能力。（响应文件须附资质证书原件扫描件） 。 (2)项目负责人须具备[建筑工程二级]（含）以上建造师资格，且在本单位注册，还应具备有效的B类安全生产考核合格证书（以建造师注册证、执业资格证、B类安全生产考核合格证为准，响应文件中须附原件扫描件）且未担任其他在建工程的项目经理（提供承诺书，格式自拟）; 项目负责人须在本单位工作，年龄不得超过65周岁，以供应商所属社保机构出具的2024年6月至今连续6个月及以上（新入职人员要求提供入职至投标截止到日前）的社保缴费证明（并加盖缴费证明专用章）或其他能够证明参加社保的有效证明材料为准；退休人员无需提供社保缴费证明，需提供有效地与聘用单位签订的聘用劳动合同及退休证明（响应文件须附相关证明材料原件扫描件）。 如供应商拟派项目负责人为一级建造师，应按照《住房和城乡建设部办公厅关于全面实行一级建造师电子注册证书的通知》【建办市〔2021〕40号】文件要求，提供一级建造师电子注册证书（一级建造师打印电子注册证书后，应在个人签名处手写本人签名，未手写签名或与签名图像笔迹不一致的，该电子证书无效，超出使用时限的电子证书无效）。如供应商拟派项目负责人为二级建造师，应依据《内蒙古自治区住房和城乡建设厅关于开展二级建造师延续注册和规范电子证书使用有关工作的通知》【内建函〔2022〕508号】文件要求提供二级建造师电子注册证书（二级建造师打印电子注册证书后，应在个人签名处手写本人签名，未手写签名或与签名图像笔迹不一致的，该电子证书无效，超出使用时限的电子证书无效）；内蒙古自治区以外的二级建造师不作要求。</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内蒙古恒允项目管理有限公司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康先生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15340784695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伊金霍洛旗乌兰木伦镇人民政府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伊金霍洛旗乌兰木伦镇和谐大厦</w:t>
      </w:r>
    </w:p>
    <w:p>
      <w:pPr>
        <w:pStyle w:val="null5"/>
      </w:pPr>
      <w:r>
        <w:rPr>
          <w:rFonts w:ascii="仿宋_GB2312" w:hAnsi="仿宋_GB2312" w:cs="仿宋_GB2312" w:eastAsia="仿宋_GB2312"/>
        </w:rPr>
        <w:t xml:space="preserve"> 邮编： </w:t>
      </w:r>
      <w:r>
        <w:rPr>
          <w:rFonts w:ascii="仿宋_GB2312" w:hAnsi="仿宋_GB2312" w:cs="仿宋_GB2312" w:eastAsia="仿宋_GB2312"/>
        </w:rPr>
        <w:t>017209</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13171495400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代理服务费收费标准：以中标金额为基数，中标价*1.2%为招标代理服务费金额</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采购包1：不属于专门面向中小企业采购。</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伊金霍洛旗乌兰木伦镇人民政府</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内蒙古恒允项目管理有限公司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上湾新市场一楼消防维修改造项目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自合同签订之日起120日历天内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1、工程完工并验收合格后支付合同总价款的97%，达到付款条件起30日，支付合同总金额的97.00%</w:t>
            </w:r>
          </w:p>
          <w:p>
            <w:pPr>
              <w:pStyle w:val="null5"/>
              <w:jc w:val="left"/>
            </w:pPr>
            <w:r>
              <w:rPr>
                <w:rFonts w:ascii="仿宋_GB2312" w:hAnsi="仿宋_GB2312" w:cs="仿宋_GB2312" w:eastAsia="仿宋_GB2312"/>
              </w:rPr>
              <w:t>2、质保期满后支付剩余3%，达到付款条件起30日，支付合同总金额的3.00%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1、期次1，说明：一次性验收</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标的名称：上湾新市场一楼消防维修改造项目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详见附件-工程量清单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审查供应商2023或2024年度经会计师事务所出具的财务审计报告或其基本开户银行出具的近一年内的银行资信证明。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1.提供递交响应文件截止之日前一年内（至少一个月）的良好缴纳税收的相关凭据。（以税务机关提供的纳税凭据或银行入账单为准） 2.提供递交响应文件截止之日前一年内（至少一个月）缴纳社会保险的凭证。（以专用收据或社会保险缴纳清单为准）注：其他组织和自然人也需要提供缴纳税收的凭据和缴纳社保的凭证。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资格要求</w:t>
            </w:r>
          </w:p>
        </w:tc>
        <w:tc>
          <w:tcPr>
            <w:tcW w:type="dxa" w:w="4984"/>
          </w:tcPr>
          <w:p>
            <w:pPr>
              <w:pStyle w:val="null5"/>
              <w:jc w:val="left"/>
            </w:pPr>
            <w:r>
              <w:rPr>
                <w:rFonts w:ascii="仿宋_GB2312" w:hAnsi="仿宋_GB2312" w:cs="仿宋_GB2312" w:eastAsia="仿宋_GB2312"/>
              </w:rPr>
              <w:t>(1)供应商须具备建设行政主管部门核发的【建筑工程施工总承包叁级】（含）以上资质，如供应商已申办2020年11月30日建市〔2020〕94号《住房和城乡建设部关于印发建设工程企业资质管理制度改革方案的通知》中住建部要求的最新资质，须具备建设行政主管部门颁发的【施工综合资质】或【建筑工程施工总承包乙级】（含）以上资质，且具备有效的安全生产许可证，并在人员、设备、资金等方面具有相应的能力。（响应文件须附资质证书原件扫描件） 。 (2)项目负责人须具备[建筑工程二级]（含）以上建造师资格，且在本单位注册，还应具备有效的B类安全生产考核合格证书（以建造师注册证、执业资格证、B类安全生产考核合格证为准，响应文件中须附原件扫描件）且未担任其他在建工程的项目经理（提供承诺书，格式自拟）; 项目负责人须在本单位工作，年龄不得超过65周岁，以供应商所属社保机构出具的2024年6月至今连续6个月及以上（新入职人员要求提供入职至投标截止到日前）的社保缴费证明（并加盖缴费证明专用章）或其他能够证明参加社保的有效证明材料为准；退休人员无需提供社保缴费证明，需提供有效地与聘用单位签订的聘用劳动合同及退休证明（响应文件须附相关证明材料原件扫描件）。 如供应商拟派项目负责人为一级建造师，应按照《住房和城乡建设部办公厅关于全面实行一级建造师电子注册证书的通知》【建办市〔2021〕40号】文件要求，提供一级建造师电子注册证书（一级建造师打印电子注册证书后，应在个人签名处手写本人签名，未手写签名或与签名图像笔迹不一致的，该电子证书无效，超出使用时限的电子证书无效）。如供应商拟派项目负责人为二级建造师，应依据《内蒙古自治区住房和城乡建设厅关于开展二级建造师延续注册和规范电子证书使用有关工作的通知》【内建函〔2022〕508号】文件要求提供二级建造师电子注册证书（二级建造师打印电子注册证书后，应在个人签名处手写本人签名，未手写签名或与签名图像笔迹不一致的，该电子证书无效，超出使用时限的电子证书无效）；内蒙古自治区以外的二级建造师不作要求。</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施工技术方案</w:t>
            </w:r>
          </w:p>
        </w:tc>
        <w:tc>
          <w:tcPr>
            <w:tcW w:type="dxa" w:w="3115"/>
          </w:tcPr>
          <w:p>
            <w:pPr>
              <w:pStyle w:val="null5"/>
              <w:jc w:val="left"/>
            </w:pPr>
            <w:r>
              <w:rPr>
                <w:rFonts w:ascii="仿宋_GB2312" w:hAnsi="仿宋_GB2312" w:cs="仿宋_GB2312" w:eastAsia="仿宋_GB2312"/>
              </w:rPr>
              <w:t>施工技术方案编制合理、部署全面、内容具体详实且针对性强，可按照施工技术方案编制内容高效有序的组织项目实施的，得10-20分，施工技术方案编制内容与实际采购项目相符，编制内容能够保证项目的正常实施的，得5-9分，施工技术方案编制内容相对简单，存在项目实施进度缓慢的，得0-4分，施工技术方案不合理的或未提供的，不得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施工进度计划</w:t>
            </w:r>
          </w:p>
        </w:tc>
        <w:tc>
          <w:tcPr>
            <w:tcW w:type="dxa" w:w="3115"/>
          </w:tcPr>
          <w:p>
            <w:pPr>
              <w:pStyle w:val="null5"/>
              <w:jc w:val="left"/>
            </w:pPr>
            <w:r>
              <w:rPr>
                <w:rFonts w:ascii="仿宋_GB2312" w:hAnsi="仿宋_GB2312" w:cs="仿宋_GB2312" w:eastAsia="仿宋_GB2312"/>
              </w:rPr>
              <w:t>施工进度计划与工序搭配逻辑关系和关键线路清晰、合理，进度内容全面针对性强，能够高效有序引导施工开展的，得7-10分，施工进度计划可行，能够正常引导施工开展的，得4-6分，施工进度计划编制简单，工序搭配逻辑关系阐述不够清晰的得0-3分，施工进度计划不合理或未提供施工进度计划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质量保证方案具体、完整，保证措施完善、先进且针对性强的得7-10分，质量保证方案可行，保证措施描述合理的得4-6分，质量保证方案描述简单，保证措施不够详细的得0-3分，质量保证方案和保证措施不合理或未提供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安全施工保证措施</w:t>
            </w:r>
          </w:p>
        </w:tc>
        <w:tc>
          <w:tcPr>
            <w:tcW w:type="dxa" w:w="3115"/>
          </w:tcPr>
          <w:p>
            <w:pPr>
              <w:pStyle w:val="null5"/>
              <w:jc w:val="left"/>
            </w:pPr>
            <w:r>
              <w:rPr>
                <w:rFonts w:ascii="仿宋_GB2312" w:hAnsi="仿宋_GB2312" w:cs="仿宋_GB2312" w:eastAsia="仿宋_GB2312"/>
              </w:rPr>
              <w:t>安全施工方案具体、完整，保证措施完善、先进且针对性强的得7-10分，安全施工方案可行，保证措施描述合理的得4-6分，安全施工方案描述简单，保证措施不够详细的得0-3分，安全施工方案和保证措施不合理或未提供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环境保护管理措施</w:t>
            </w:r>
          </w:p>
        </w:tc>
        <w:tc>
          <w:tcPr>
            <w:tcW w:type="dxa" w:w="3115"/>
          </w:tcPr>
          <w:p>
            <w:pPr>
              <w:pStyle w:val="null5"/>
              <w:jc w:val="left"/>
            </w:pPr>
            <w:r>
              <w:rPr>
                <w:rFonts w:ascii="仿宋_GB2312" w:hAnsi="仿宋_GB2312" w:cs="仿宋_GB2312" w:eastAsia="仿宋_GB2312"/>
              </w:rPr>
              <w:t>环境保护管理方案具体、完整，保证措施先进且针对性强的得7-10分，环境保护管理方案可行，保证措施描述合理的4-6分，环境保护管理方案描述简单，保证措施不够详实的0-3分，环境保护管理措施不合理或未提供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施工机械、劳动力安排搭配合理与施工进度计划呼应，完全满足施工要求，能够保证施工高效有序开展的得7-10分，施工机械、劳动力安排可行、数量搭配合理，能够保证施工正常开展的得4-6分，施工机械、劳动力安排计划过于简单存在项目实施进度缓慢的0-3分，施工机械、劳动力安排计划不合理或未提供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投标人提供近年 (2022年1月至今)已实施过的同类项目业绩，每有一例得5分,本项最高得20分. (响应文件须附合同原件扫描件）。</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5.00%</w:t>
            </w:r>
          </w:p>
        </w:tc>
        <w:tc>
          <w:tcPr>
            <w:tcW w:type="dxa" w:w="2492"/>
          </w:tcPr>
          <w:p>
            <w:pPr>
              <w:pStyle w:val="null5"/>
              <w:jc w:val="left"/>
            </w:pPr>
            <w:r>
              <w:rPr>
                <w:rFonts w:ascii="仿宋_GB2312" w:hAnsi="仿宋_GB2312" w:cs="仿宋_GB2312" w:eastAsia="仿宋_GB2312"/>
              </w:rPr>
              <w:t>1、对小、微企业报价给予3%—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