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1593BE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spacing w:before="203" w:line="400" w:lineRule="exact"/>
        <w:jc w:val="center"/>
        <w:textAlignment w:val="baseline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36"/>
          <w:szCs w:val="36"/>
          <w:lang w:eastAsia="zh-CN"/>
        </w:rPr>
      </w:pPr>
      <w:bookmarkStart w:id="1" w:name="_GoBack"/>
      <w:bookmarkEnd w:id="1"/>
      <w:bookmarkStart w:id="0" w:name="_Toc14215"/>
    </w:p>
    <w:p w14:paraId="0E20CFB2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spacing w:before="203" w:line="400" w:lineRule="exact"/>
        <w:jc w:val="center"/>
        <w:textAlignment w:val="baseline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36"/>
          <w:szCs w:val="36"/>
          <w:lang w:eastAsia="zh-CN"/>
        </w:rPr>
      </w:pPr>
    </w:p>
    <w:p w14:paraId="1F58E305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spacing w:before="203" w:line="400" w:lineRule="exact"/>
        <w:jc w:val="center"/>
        <w:textAlignment w:val="baseline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36"/>
          <w:szCs w:val="36"/>
          <w:lang w:eastAsia="zh-CN"/>
        </w:rPr>
      </w:pPr>
    </w:p>
    <w:p w14:paraId="55B4247F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spacing w:before="203" w:line="400" w:lineRule="exact"/>
        <w:jc w:val="center"/>
        <w:textAlignment w:val="baseline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56"/>
          <w:szCs w:val="5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56"/>
          <w:szCs w:val="56"/>
          <w:lang w:eastAsia="zh-CN"/>
        </w:rPr>
        <w:t>零碳产业园区环境卫生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56"/>
          <w:szCs w:val="56"/>
        </w:rPr>
        <w:t>作业考核评分标准</w:t>
      </w:r>
    </w:p>
    <w:p w14:paraId="4E27037A">
      <w:pPr>
        <w:pStyle w:val="2"/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56"/>
          <w:szCs w:val="56"/>
        </w:rPr>
      </w:pPr>
    </w:p>
    <w:p w14:paraId="17879A94">
      <w:pPr>
        <w:pStyle w:val="5"/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56"/>
          <w:szCs w:val="56"/>
        </w:rPr>
      </w:pPr>
    </w:p>
    <w:p w14:paraId="51049E6E">
      <w:pP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56"/>
          <w:szCs w:val="56"/>
        </w:rPr>
      </w:pPr>
    </w:p>
    <w:p w14:paraId="5E4E92CD">
      <w:pPr>
        <w:pStyle w:val="2"/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56"/>
          <w:szCs w:val="56"/>
        </w:rPr>
      </w:pPr>
    </w:p>
    <w:p w14:paraId="52CEFEFD">
      <w:pPr>
        <w:pStyle w:val="5"/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56"/>
          <w:szCs w:val="56"/>
        </w:rPr>
      </w:pPr>
    </w:p>
    <w:p w14:paraId="001E43B1">
      <w:pPr>
        <w:pStyle w:val="2"/>
        <w:jc w:val="center"/>
        <w:rPr>
          <w:rFonts w:hint="default" w:ascii="方正楷体简体" w:hAnsi="方正楷体简体" w:eastAsia="方正楷体简体" w:cs="方正楷体简体"/>
          <w:b/>
          <w:bCs/>
          <w:spacing w:val="0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40"/>
          <w:szCs w:val="40"/>
          <w:lang w:val="en-US" w:eastAsia="zh-CN"/>
        </w:rPr>
        <w:t>2025年4月</w:t>
      </w:r>
    </w:p>
    <w:p w14:paraId="76B2BA7A">
      <w:pPr>
        <w:rPr>
          <w:rFonts w:hint="eastAsia" w:ascii="方正楷体简体" w:hAnsi="方正楷体简体" w:eastAsia="方正楷体简体" w:cs="方正楷体简体"/>
          <w:b/>
          <w:bCs/>
          <w:spacing w:val="-3"/>
          <w:sz w:val="24"/>
          <w:szCs w:val="24"/>
          <w:lang w:eastAsia="zh-CN"/>
        </w:rPr>
      </w:pPr>
    </w:p>
    <w:p w14:paraId="642A53AA">
      <w:pPr>
        <w:pStyle w:val="2"/>
        <w:rPr>
          <w:rFonts w:hint="eastAsia" w:ascii="方正楷体简体" w:hAnsi="方正楷体简体" w:eastAsia="方正楷体简体" w:cs="方正楷体简体"/>
          <w:b/>
          <w:bCs/>
          <w:spacing w:val="-3"/>
          <w:sz w:val="24"/>
          <w:szCs w:val="24"/>
          <w:lang w:eastAsia="zh-CN"/>
        </w:rPr>
      </w:pPr>
    </w:p>
    <w:p w14:paraId="05DECFFB">
      <w:pPr>
        <w:pStyle w:val="5"/>
        <w:rPr>
          <w:rFonts w:hint="eastAsia"/>
          <w:lang w:eastAsia="zh-CN"/>
        </w:rPr>
        <w:sectPr>
          <w:pgSz w:w="16838" w:h="11905" w:orient="landscape"/>
          <w:pgMar w:top="1015" w:right="1344" w:bottom="1145" w:left="879" w:header="0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</w:sectPr>
      </w:pPr>
    </w:p>
    <w:p w14:paraId="2A959D23">
      <w:pPr>
        <w:pStyle w:val="2"/>
        <w:rPr>
          <w:rFonts w:hint="eastAsia"/>
          <w:lang w:eastAsia="zh-CN"/>
        </w:rPr>
      </w:pPr>
    </w:p>
    <w:p w14:paraId="47CE11B3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spacing w:before="203" w:line="400" w:lineRule="exact"/>
        <w:jc w:val="center"/>
        <w:textAlignment w:val="baseline"/>
        <w:outlineLvl w:val="0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36"/>
          <w:szCs w:val="36"/>
          <w:lang w:eastAsia="zh-CN"/>
        </w:rPr>
        <w:t>零碳产业园区环境卫生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36"/>
          <w:szCs w:val="36"/>
        </w:rPr>
        <w:t>作业考核评分标准</w:t>
      </w:r>
      <w:bookmarkEnd w:id="0"/>
    </w:p>
    <w:p w14:paraId="065CA0BC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spacing w:line="192" w:lineRule="exact"/>
        <w:textAlignment w:val="baseline"/>
      </w:pPr>
    </w:p>
    <w:tbl>
      <w:tblPr>
        <w:tblStyle w:val="13"/>
        <w:tblW w:w="14338" w:type="dxa"/>
        <w:tblInd w:w="29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8"/>
        <w:gridCol w:w="554"/>
        <w:gridCol w:w="382"/>
        <w:gridCol w:w="6845"/>
        <w:gridCol w:w="5949"/>
      </w:tblGrid>
      <w:tr w14:paraId="1C4A91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6" w:hRule="atLeast"/>
        </w:trPr>
        <w:tc>
          <w:tcPr>
            <w:tcW w:w="608" w:type="dxa"/>
            <w:textDirection w:val="tbRlV"/>
          </w:tcPr>
          <w:p w14:paraId="5868567F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97" w:line="180" w:lineRule="auto"/>
              <w:ind w:firstLine="55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核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容</w:t>
            </w:r>
          </w:p>
        </w:tc>
        <w:tc>
          <w:tcPr>
            <w:tcW w:w="554" w:type="dxa"/>
            <w:textDirection w:val="tbRlV"/>
          </w:tcPr>
          <w:p w14:paraId="028B3F8F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4" w:line="180" w:lineRule="auto"/>
              <w:ind w:firstLine="55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核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方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式</w:t>
            </w:r>
          </w:p>
        </w:tc>
        <w:tc>
          <w:tcPr>
            <w:tcW w:w="382" w:type="dxa"/>
            <w:textDirection w:val="tbRlV"/>
          </w:tcPr>
          <w:p w14:paraId="2157A87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27" w:line="180" w:lineRule="auto"/>
              <w:ind w:firstLine="211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  <w:r>
              <w:rPr>
                <w:rFonts w:ascii="宋体" w:hAnsi="宋体" w:eastAsia="宋体" w:cs="宋体"/>
                <w:spacing w:val="33"/>
              </w:rPr>
              <w:t xml:space="preserve">  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别</w:t>
            </w:r>
          </w:p>
        </w:tc>
        <w:tc>
          <w:tcPr>
            <w:tcW w:w="6845" w:type="dxa"/>
          </w:tcPr>
          <w:p w14:paraId="1506272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452" w:lineRule="auto"/>
              <w:textAlignment w:val="baseline"/>
            </w:pPr>
          </w:p>
          <w:p w14:paraId="57F5533C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184" w:lineRule="auto"/>
              <w:ind w:firstLine="2174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9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作</w:t>
            </w:r>
            <w:r>
              <w:rPr>
                <w:rFonts w:ascii="宋体" w:hAnsi="宋体" w:eastAsia="宋体" w:cs="宋体"/>
                <w:spacing w:val="12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业</w:t>
            </w:r>
            <w:r>
              <w:rPr>
                <w:rFonts w:ascii="宋体" w:hAnsi="宋体" w:eastAsia="宋体" w:cs="宋体"/>
                <w:spacing w:val="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服</w:t>
            </w:r>
            <w:r>
              <w:rPr>
                <w:rFonts w:ascii="宋体" w:hAnsi="宋体" w:eastAsia="宋体" w:cs="宋体"/>
                <w:spacing w:val="13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</w:t>
            </w:r>
            <w:r>
              <w:rPr>
                <w:rFonts w:ascii="宋体" w:hAnsi="宋体" w:eastAsia="宋体" w:cs="宋体"/>
                <w:spacing w:val="12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质</w:t>
            </w:r>
            <w:r>
              <w:rPr>
                <w:rFonts w:ascii="宋体" w:hAnsi="宋体" w:eastAsia="宋体" w:cs="宋体"/>
                <w:spacing w:val="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量</w:t>
            </w:r>
            <w:r>
              <w:rPr>
                <w:rFonts w:ascii="宋体" w:hAnsi="宋体" w:eastAsia="宋体" w:cs="宋体"/>
                <w:spacing w:val="12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标</w:t>
            </w:r>
            <w:r>
              <w:rPr>
                <w:rFonts w:ascii="宋体" w:hAnsi="宋体" w:eastAsia="宋体" w:cs="宋体"/>
                <w:spacing w:val="1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准</w:t>
            </w:r>
          </w:p>
        </w:tc>
        <w:tc>
          <w:tcPr>
            <w:tcW w:w="5949" w:type="dxa"/>
          </w:tcPr>
          <w:p w14:paraId="167244F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452" w:lineRule="auto"/>
              <w:textAlignment w:val="baseline"/>
            </w:pPr>
          </w:p>
          <w:p w14:paraId="3C9B1AF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184" w:lineRule="auto"/>
              <w:ind w:firstLine="2396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</w:t>
            </w:r>
            <w:r>
              <w:rPr>
                <w:rFonts w:ascii="宋体" w:hAnsi="宋体" w:eastAsia="宋体" w:cs="宋体"/>
                <w:spacing w:val="13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</w:t>
            </w:r>
            <w:r>
              <w:rPr>
                <w:rFonts w:ascii="宋体" w:hAnsi="宋体" w:eastAsia="宋体" w:cs="宋体"/>
                <w:spacing w:val="11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标</w:t>
            </w:r>
            <w:r>
              <w:rPr>
                <w:rFonts w:ascii="宋体" w:hAnsi="宋体" w:eastAsia="宋体" w:cs="宋体"/>
                <w:spacing w:val="11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准</w:t>
            </w:r>
          </w:p>
        </w:tc>
      </w:tr>
      <w:tr w14:paraId="45C22B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08" w:type="dxa"/>
            <w:vMerge w:val="restart"/>
          </w:tcPr>
          <w:p w14:paraId="61D4ABE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3" w:lineRule="auto"/>
              <w:textAlignment w:val="baseline"/>
            </w:pPr>
          </w:p>
          <w:p w14:paraId="3F05BAE1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279" w:lineRule="exact"/>
              <w:ind w:firstLine="221"/>
              <w:textAlignment w:val="baseline"/>
              <w:rPr>
                <w:rFonts w:ascii="宋体" w:hAnsi="宋体" w:eastAsia="宋体" w:cs="宋体"/>
                <w:spacing w:val="-5"/>
                <w:position w:val="7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14:paraId="035B85A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279" w:lineRule="exact"/>
              <w:ind w:firstLine="221"/>
              <w:textAlignment w:val="baseline"/>
              <w:rPr>
                <w:rFonts w:ascii="宋体" w:hAnsi="宋体" w:eastAsia="宋体" w:cs="宋体"/>
                <w:spacing w:val="-5"/>
                <w:position w:val="7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14:paraId="5D2B8DDC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279" w:lineRule="exact"/>
              <w:ind w:firstLine="221"/>
              <w:textAlignment w:val="baseline"/>
              <w:rPr>
                <w:rFonts w:ascii="宋体" w:hAnsi="宋体" w:eastAsia="宋体" w:cs="宋体"/>
                <w:spacing w:val="-5"/>
                <w:position w:val="7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14:paraId="4EFCB054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279" w:lineRule="exact"/>
              <w:ind w:firstLine="221"/>
              <w:textAlignment w:val="baseline"/>
              <w:rPr>
                <w:rFonts w:ascii="宋体" w:hAnsi="宋体" w:eastAsia="宋体" w:cs="宋体"/>
                <w:spacing w:val="-5"/>
                <w:position w:val="7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14:paraId="483315FD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279" w:lineRule="exact"/>
              <w:ind w:firstLine="221"/>
              <w:textAlignment w:val="baseline"/>
              <w:rPr>
                <w:rFonts w:ascii="宋体" w:hAnsi="宋体" w:eastAsia="宋体" w:cs="宋体"/>
                <w:spacing w:val="-5"/>
                <w:position w:val="7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14:paraId="2E52566F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279" w:lineRule="exact"/>
              <w:ind w:firstLine="221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5"/>
                <w:position w:val="7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1.</w:t>
            </w:r>
          </w:p>
          <w:p w14:paraId="014006A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225" w:line="131" w:lineRule="exact"/>
              <w:ind w:firstLine="204"/>
              <w:textAlignment w:val="baseline"/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管</w:t>
            </w:r>
          </w:p>
          <w:p w14:paraId="2E1ACA4A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225" w:line="131" w:lineRule="exact"/>
              <w:ind w:firstLine="204"/>
              <w:textAlignment w:val="baseline"/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</w:t>
            </w:r>
          </w:p>
          <w:p w14:paraId="2A9719B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225" w:line="131" w:lineRule="exact"/>
              <w:ind w:firstLine="204"/>
              <w:textAlignment w:val="baseline"/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体</w:t>
            </w:r>
          </w:p>
          <w:p w14:paraId="54FA266F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225" w:line="131" w:lineRule="exact"/>
              <w:ind w:firstLine="204"/>
              <w:textAlignment w:val="baseline"/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系</w:t>
            </w:r>
          </w:p>
          <w:p w14:paraId="73D7C9FA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225" w:line="131" w:lineRule="exact"/>
              <w:ind w:firstLine="204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︵</w:t>
            </w:r>
          </w:p>
          <w:p w14:paraId="09F8344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" w:line="204" w:lineRule="auto"/>
              <w:ind w:left="212" w:leftChars="100" w:hanging="2" w:hangingChars="1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Calibri" w:hAnsi="Calibri" w:eastAsia="宋体" w:cs="Calibri"/>
                <w:b/>
                <w:bCs/>
                <w:spacing w:val="-5"/>
                <w:position w:val="7"/>
                <w:lang w:val="en-US" w:eastAsia="zh-CN"/>
              </w:rPr>
              <w:t>15</w:t>
            </w:r>
            <w:r>
              <w:rPr>
                <w:rFonts w:ascii="宋体" w:hAnsi="宋体" w:eastAsia="宋体" w:cs="宋体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</w:t>
            </w:r>
          </w:p>
          <w:p w14:paraId="145A71C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17" w:line="180" w:lineRule="auto"/>
              <w:ind w:firstLine="204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︶</w:t>
            </w:r>
          </w:p>
        </w:tc>
        <w:tc>
          <w:tcPr>
            <w:tcW w:w="554" w:type="dxa"/>
            <w:vMerge w:val="restart"/>
            <w:textDirection w:val="tbRlV"/>
          </w:tcPr>
          <w:p w14:paraId="6170958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3" w:line="180" w:lineRule="auto"/>
              <w:ind w:firstLine="2866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现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场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检</w:t>
            </w:r>
            <w:r>
              <w:rPr>
                <w:rFonts w:ascii="宋体" w:hAnsi="宋体" w:eastAsia="宋体" w:cs="宋体"/>
                <w:spacing w:val="-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查</w:t>
            </w:r>
          </w:p>
        </w:tc>
        <w:tc>
          <w:tcPr>
            <w:tcW w:w="382" w:type="dxa"/>
            <w:vMerge w:val="restart"/>
            <w:textDirection w:val="tbRlV"/>
          </w:tcPr>
          <w:p w14:paraId="28CC9E75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46" w:line="180" w:lineRule="auto"/>
              <w:ind w:firstLine="2242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  <w:position w:val="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  <w:r>
              <w:rPr>
                <w:rFonts w:ascii="宋体" w:hAnsi="宋体" w:eastAsia="宋体" w:cs="宋体"/>
                <w:spacing w:val="4"/>
                <w:position w:val="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常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管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方</w:t>
            </w:r>
            <w:r>
              <w:rPr>
                <w:rFonts w:ascii="宋体" w:hAnsi="宋体" w:eastAsia="宋体" w:cs="宋体"/>
                <w:spacing w:val="-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面</w:t>
            </w:r>
          </w:p>
        </w:tc>
        <w:tc>
          <w:tcPr>
            <w:tcW w:w="6845" w:type="dxa"/>
            <w:vAlign w:val="center"/>
          </w:tcPr>
          <w:p w14:paraId="7F4971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1.通知环卫中标公司参加有关环卫业务工作的会议，项目负责人必须重视并指派专人准时参会。</w:t>
            </w:r>
          </w:p>
        </w:tc>
        <w:tc>
          <w:tcPr>
            <w:tcW w:w="5949" w:type="dxa"/>
            <w:vAlign w:val="center"/>
          </w:tcPr>
          <w:p w14:paraId="343825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1.迟到或中途离场的每次扣0.5分；</w:t>
            </w:r>
          </w:p>
          <w:p w14:paraId="174A79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2.无故缺席的扣2分。</w:t>
            </w:r>
          </w:p>
        </w:tc>
      </w:tr>
      <w:tr w14:paraId="4DE2A8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2" w:hRule="atLeast"/>
        </w:trPr>
        <w:tc>
          <w:tcPr>
            <w:tcW w:w="608" w:type="dxa"/>
            <w:vMerge w:val="continue"/>
          </w:tcPr>
          <w:p w14:paraId="793140E1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554" w:type="dxa"/>
            <w:vMerge w:val="continue"/>
            <w:textDirection w:val="tbRlV"/>
          </w:tcPr>
          <w:p w14:paraId="7398B13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382" w:type="dxa"/>
            <w:vMerge w:val="continue"/>
            <w:textDirection w:val="tbRlV"/>
          </w:tcPr>
          <w:p w14:paraId="57AA5F9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6845" w:type="dxa"/>
            <w:vAlign w:val="center"/>
          </w:tcPr>
          <w:p w14:paraId="083159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2.参会人员应及时传达会议精神，积极配合完成区城管部门交办的其他工作，同时做好各类资料的收集整理工作，并按要求时限报送。</w:t>
            </w:r>
          </w:p>
        </w:tc>
        <w:tc>
          <w:tcPr>
            <w:tcW w:w="5949" w:type="dxa"/>
            <w:vAlign w:val="center"/>
          </w:tcPr>
          <w:p w14:paraId="511BFB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1.如会议精神传达不及时、不到位，造成工作严重脱节或重大失误的，每次扣2分；</w:t>
            </w:r>
          </w:p>
          <w:p w14:paraId="3C3BEB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2.报送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重大</w:t>
            </w:r>
            <w:r>
              <w:rPr>
                <w:rFonts w:hint="eastAsia" w:ascii="宋体" w:hAnsi="宋体" w:eastAsia="宋体" w:cs="宋体"/>
              </w:rPr>
              <w:t>资料每缺一项扣1分；</w:t>
            </w:r>
          </w:p>
        </w:tc>
      </w:tr>
      <w:tr w14:paraId="70E2DC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608" w:type="dxa"/>
            <w:vMerge w:val="continue"/>
          </w:tcPr>
          <w:p w14:paraId="6DE7EC3A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554" w:type="dxa"/>
            <w:vMerge w:val="continue"/>
            <w:textDirection w:val="tbRlV"/>
          </w:tcPr>
          <w:p w14:paraId="5C983E22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382" w:type="dxa"/>
            <w:vMerge w:val="continue"/>
            <w:textDirection w:val="tbRlV"/>
          </w:tcPr>
          <w:p w14:paraId="651E1C41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6845" w:type="dxa"/>
            <w:vAlign w:val="center"/>
          </w:tcPr>
          <w:p w14:paraId="785947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3.环卫中标公司项目负责人应每天24小时保持通讯畅通。</w:t>
            </w:r>
          </w:p>
        </w:tc>
        <w:tc>
          <w:tcPr>
            <w:tcW w:w="5949" w:type="dxa"/>
            <w:vAlign w:val="center"/>
          </w:tcPr>
          <w:p w14:paraId="42946B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手机打不通或不接电话且未复电导致耽误工作的，每次扣1分。</w:t>
            </w:r>
          </w:p>
        </w:tc>
      </w:tr>
      <w:tr w14:paraId="5A1776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608" w:type="dxa"/>
            <w:vMerge w:val="continue"/>
          </w:tcPr>
          <w:p w14:paraId="3849F77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554" w:type="dxa"/>
            <w:vMerge w:val="continue"/>
            <w:textDirection w:val="tbRlV"/>
          </w:tcPr>
          <w:p w14:paraId="5BA174BF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382" w:type="dxa"/>
            <w:vMerge w:val="continue"/>
            <w:textDirection w:val="tbRlV"/>
          </w:tcPr>
          <w:p w14:paraId="37E6AD3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6845" w:type="dxa"/>
            <w:vAlign w:val="center"/>
          </w:tcPr>
          <w:p w14:paraId="7AB30F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4.重要检查、专项整治和法定节假日须按城管部门要求做好人员安排，能按时限、按标准、按要求完成所分配的任务，工作落实到位。</w:t>
            </w:r>
          </w:p>
        </w:tc>
        <w:tc>
          <w:tcPr>
            <w:tcW w:w="5949" w:type="dxa"/>
            <w:vAlign w:val="center"/>
          </w:tcPr>
          <w:p w14:paraId="1FB8F2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1.没有及时组织安排人员到位，每次扣1分；        </w:t>
            </w:r>
          </w:p>
          <w:p w14:paraId="19C566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2.被投诉，情况属实，造成恶劣影响的每次扣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</w:rPr>
              <w:t>分。</w:t>
            </w:r>
          </w:p>
        </w:tc>
      </w:tr>
      <w:tr w14:paraId="249140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08" w:type="dxa"/>
            <w:vMerge w:val="continue"/>
          </w:tcPr>
          <w:p w14:paraId="03425884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554" w:type="dxa"/>
            <w:vMerge w:val="continue"/>
            <w:textDirection w:val="tbRlV"/>
          </w:tcPr>
          <w:p w14:paraId="13FD7FAF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382" w:type="dxa"/>
            <w:vMerge w:val="continue"/>
            <w:textDirection w:val="tbRlV"/>
          </w:tcPr>
          <w:p w14:paraId="58C401E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6845" w:type="dxa"/>
            <w:vAlign w:val="center"/>
          </w:tcPr>
          <w:p w14:paraId="4F3D77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5.做好区域内环卫方面迎接重大检查、重大活动保障等临时性、突击性工作，遇应急检查或其他突发情况，环卫中标公司必须服从上级部门的安排调度，应在30分钟内到达现场处理问题并及时回复。</w:t>
            </w:r>
          </w:p>
        </w:tc>
        <w:tc>
          <w:tcPr>
            <w:tcW w:w="5949" w:type="dxa"/>
            <w:vAlign w:val="center"/>
          </w:tcPr>
          <w:p w14:paraId="2AF3B1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1.未及时到达现场每次扣1分；</w:t>
            </w:r>
          </w:p>
          <w:p w14:paraId="166D58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2.到达现场处理但未将处理情况及时回复的，每次扣 0.5分； </w:t>
            </w:r>
          </w:p>
          <w:p w14:paraId="2A4513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3.未处理到位而虚假回复的，每次扣 1分；</w:t>
            </w:r>
          </w:p>
          <w:p w14:paraId="22193F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4.未到场或不服从调配、推诿造成严重后果的、负面影响较大的扣3分。</w:t>
            </w:r>
          </w:p>
        </w:tc>
      </w:tr>
      <w:tr w14:paraId="230174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08" w:type="dxa"/>
            <w:vMerge w:val="continue"/>
          </w:tcPr>
          <w:p w14:paraId="4F8ADCF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554" w:type="dxa"/>
            <w:vMerge w:val="continue"/>
            <w:textDirection w:val="tbRlV"/>
          </w:tcPr>
          <w:p w14:paraId="7F53538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382" w:type="dxa"/>
            <w:vMerge w:val="continue"/>
            <w:textDirection w:val="tbRlV"/>
          </w:tcPr>
          <w:p w14:paraId="309F50B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6845" w:type="dxa"/>
            <w:vAlign w:val="center"/>
          </w:tcPr>
          <w:p w14:paraId="3AC599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6.上级部门下达的整改督办通知单、群众投诉或被媒体负面曝光等情形， 应立即按要求限时整改，落实到位。</w:t>
            </w:r>
          </w:p>
        </w:tc>
        <w:tc>
          <w:tcPr>
            <w:tcW w:w="5949" w:type="dxa"/>
            <w:vAlign w:val="center"/>
          </w:tcPr>
          <w:p w14:paraId="514149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未按要求整改到位的每次扣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</w:rPr>
              <w:t>分，如发生市民投诉、媒体曝光，视情节严重程度每次扣 1-5分。</w:t>
            </w:r>
          </w:p>
        </w:tc>
      </w:tr>
      <w:tr w14:paraId="7C3A61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608" w:type="dxa"/>
            <w:vMerge w:val="continue"/>
          </w:tcPr>
          <w:p w14:paraId="180DA074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554" w:type="dxa"/>
            <w:vMerge w:val="continue"/>
            <w:textDirection w:val="tbRlV"/>
          </w:tcPr>
          <w:p w14:paraId="4FAE506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382" w:type="dxa"/>
            <w:vMerge w:val="continue"/>
            <w:textDirection w:val="tbRlV"/>
          </w:tcPr>
          <w:p w14:paraId="208A50E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6845" w:type="dxa"/>
            <w:vAlign w:val="center"/>
          </w:tcPr>
          <w:p w14:paraId="7FC283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7.严禁工作期间缺岗、迟到、早退、闲聊、串岗、坐岗、睡岗、嬉戏打闹、醉酒上岗、从事与工作无关的私事等等。</w:t>
            </w:r>
          </w:p>
        </w:tc>
        <w:tc>
          <w:tcPr>
            <w:tcW w:w="5949" w:type="dxa"/>
            <w:vAlign w:val="center"/>
          </w:tcPr>
          <w:p w14:paraId="1CF880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1.在检查考评过程中发现存在违反现象，每人每次扣0.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</w:rPr>
              <w:t xml:space="preserve">分。 </w:t>
            </w:r>
          </w:p>
          <w:p w14:paraId="7F1358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2.产生的一切后果由环卫中标公司承担。</w:t>
            </w:r>
          </w:p>
        </w:tc>
      </w:tr>
      <w:tr w14:paraId="183B4E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608" w:type="dxa"/>
            <w:vMerge w:val="continue"/>
          </w:tcPr>
          <w:p w14:paraId="0DCA8CD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554" w:type="dxa"/>
            <w:vMerge w:val="continue"/>
            <w:textDirection w:val="tbRlV"/>
          </w:tcPr>
          <w:p w14:paraId="58754851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382" w:type="dxa"/>
            <w:vMerge w:val="continue"/>
            <w:textDirection w:val="tbRlV"/>
          </w:tcPr>
          <w:p w14:paraId="3CB35F0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6845" w:type="dxa"/>
            <w:vAlign w:val="center"/>
          </w:tcPr>
          <w:p w14:paraId="4A23B7FA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</w:pPr>
            <w:r>
              <w:rPr>
                <w:rFonts w:hint="eastAsia"/>
              </w:rPr>
              <w:t>建立健全作业管理制度，运行管理记录完整，有自我考核监督机制；保洁人员配置合理，不得低于作业方案承诺人数；及时、准确上报行业基础数据、资料。</w:t>
            </w:r>
          </w:p>
        </w:tc>
        <w:tc>
          <w:tcPr>
            <w:tcW w:w="5949" w:type="dxa"/>
            <w:vAlign w:val="center"/>
          </w:tcPr>
          <w:p w14:paraId="066DBC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管理制度不健全，每缺少一项扣0.2分；运行管理记录不完整，每发现一次扣0.1分；保洁人员低于承诺人数，每缺少1人扣0.2 分；未及时上报数据资料，每次扣0.2分。</w:t>
            </w:r>
          </w:p>
        </w:tc>
      </w:tr>
      <w:tr w14:paraId="65A979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608" w:type="dxa"/>
            <w:vMerge w:val="continue"/>
          </w:tcPr>
          <w:p w14:paraId="628B3EC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554" w:type="dxa"/>
            <w:vMerge w:val="continue"/>
            <w:textDirection w:val="tbRlV"/>
          </w:tcPr>
          <w:p w14:paraId="685A0555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382" w:type="dxa"/>
            <w:vMerge w:val="continue"/>
            <w:textDirection w:val="tbRlV"/>
          </w:tcPr>
          <w:p w14:paraId="37B45362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6845" w:type="dxa"/>
            <w:vAlign w:val="center"/>
          </w:tcPr>
          <w:p w14:paraId="654A97C2">
            <w:pPr>
              <w:pStyle w:val="2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ascii="Arial" w:hAnsi="Arial" w:eastAsia="Arial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9.作业期间环卫工人统一着装，服装干净整洁，不得混装；环卫工人使用统一的保洁器具，作业期间要遵守作业规范和交通规则、文明作业；各类作业车辆统一编号、定时清洗，保持标志清晰、齐全，车体无破损、无污垢。</w:t>
            </w:r>
          </w:p>
        </w:tc>
        <w:tc>
          <w:tcPr>
            <w:tcW w:w="5949" w:type="dxa"/>
            <w:vAlign w:val="center"/>
          </w:tcPr>
          <w:p w14:paraId="0B653C19">
            <w:pPr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3"/>
              </w:rPr>
              <w:t>未达到要求，每处扣</w:t>
            </w:r>
            <w:r>
              <w:rPr>
                <w:rFonts w:ascii="宋体" w:hAnsi="宋体" w:eastAsia="宋体" w:cs="宋体"/>
                <w:spacing w:val="-37"/>
              </w:rPr>
              <w:t xml:space="preserve"> </w:t>
            </w:r>
            <w:r>
              <w:rPr>
                <w:rFonts w:ascii="Calibri" w:hAnsi="Calibri" w:eastAsia="Calibri" w:cs="Calibri"/>
                <w:spacing w:val="-3"/>
              </w:rPr>
              <w:t>0.1</w:t>
            </w:r>
            <w:r>
              <w:rPr>
                <w:rFonts w:ascii="Calibri" w:hAnsi="Calibri" w:eastAsia="Calibri" w:cs="Calibri"/>
                <w:spacing w:val="18"/>
                <w:w w:val="101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</w:rPr>
              <w:t>分。</w:t>
            </w:r>
          </w:p>
        </w:tc>
      </w:tr>
    </w:tbl>
    <w:p w14:paraId="40911176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textAlignment w:val="baseline"/>
        <w:sectPr>
          <w:footerReference r:id="rId3" w:type="default"/>
          <w:pgSz w:w="16838" w:h="11905" w:orient="landscape"/>
          <w:pgMar w:top="1015" w:right="1344" w:bottom="1145" w:left="879" w:header="0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0" w:num="1"/>
        </w:sectPr>
      </w:pPr>
    </w:p>
    <w:p w14:paraId="127061B5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spacing w:line="192" w:lineRule="exact"/>
        <w:textAlignment w:val="baseline"/>
      </w:pPr>
    </w:p>
    <w:p w14:paraId="489293DB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textAlignment w:val="baseline"/>
      </w:pPr>
    </w:p>
    <w:p w14:paraId="1318B9C2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spacing w:line="167" w:lineRule="exact"/>
        <w:textAlignment w:val="baseline"/>
      </w:pPr>
    </w:p>
    <w:tbl>
      <w:tblPr>
        <w:tblStyle w:val="13"/>
        <w:tblW w:w="14597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1"/>
        <w:gridCol w:w="565"/>
        <w:gridCol w:w="474"/>
        <w:gridCol w:w="8535"/>
        <w:gridCol w:w="4402"/>
      </w:tblGrid>
      <w:tr w14:paraId="618CFF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4" w:hRule="atLeast"/>
        </w:trPr>
        <w:tc>
          <w:tcPr>
            <w:tcW w:w="621" w:type="dxa"/>
            <w:tcBorders>
              <w:tl2br w:val="nil"/>
              <w:tr2bl w:val="nil"/>
            </w:tcBorders>
            <w:textDirection w:val="tbRlV"/>
          </w:tcPr>
          <w:p w14:paraId="0F073FD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288" w:line="180" w:lineRule="auto"/>
              <w:ind w:firstLine="56"/>
              <w:jc w:val="center"/>
              <w:textAlignment w:val="baseline"/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pacing w:val="-1"/>
                <w:highlight w:val="none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考</w:t>
            </w:r>
            <w:r>
              <w:rPr>
                <w:rFonts w:ascii="宋体" w:hAnsi="宋体" w:eastAsia="宋体" w:cs="宋体"/>
                <w:color w:val="000000" w:themeColor="text1"/>
                <w:spacing w:val="-2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pacing w:val="-1"/>
                <w:highlight w:val="none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核</w:t>
            </w:r>
            <w:r>
              <w:rPr>
                <w:rFonts w:ascii="宋体" w:hAnsi="宋体" w:eastAsia="宋体" w:cs="宋体"/>
                <w:color w:val="000000" w:themeColor="text1"/>
                <w:spacing w:val="-2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pacing w:val="-1"/>
                <w:highlight w:val="none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内</w:t>
            </w:r>
            <w:r>
              <w:rPr>
                <w:rFonts w:ascii="宋体" w:hAnsi="宋体" w:eastAsia="宋体" w:cs="宋体"/>
                <w:color w:val="000000" w:themeColor="text1"/>
                <w:spacing w:val="-2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pacing w:val="-1"/>
                <w:highlight w:val="none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容</w:t>
            </w:r>
          </w:p>
        </w:tc>
        <w:tc>
          <w:tcPr>
            <w:tcW w:w="565" w:type="dxa"/>
            <w:tcBorders>
              <w:tl2br w:val="nil"/>
              <w:tr2bl w:val="nil"/>
            </w:tcBorders>
            <w:textDirection w:val="tbRlV"/>
          </w:tcPr>
          <w:p w14:paraId="163C43C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1" w:line="180" w:lineRule="auto"/>
              <w:ind w:firstLine="56"/>
              <w:jc w:val="center"/>
              <w:textAlignment w:val="baseline"/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pacing w:val="-1"/>
                <w:highlight w:val="none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考</w:t>
            </w:r>
            <w:r>
              <w:rPr>
                <w:rFonts w:ascii="宋体" w:hAnsi="宋体" w:eastAsia="宋体" w:cs="宋体"/>
                <w:color w:val="000000" w:themeColor="text1"/>
                <w:spacing w:val="-2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pacing w:val="-1"/>
                <w:highlight w:val="none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核</w:t>
            </w:r>
            <w:r>
              <w:rPr>
                <w:rFonts w:ascii="宋体" w:hAnsi="宋体" w:eastAsia="宋体" w:cs="宋体"/>
                <w:color w:val="000000" w:themeColor="text1"/>
                <w:spacing w:val="-2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pacing w:val="-1"/>
                <w:highlight w:val="none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方</w:t>
            </w:r>
            <w:r>
              <w:rPr>
                <w:rFonts w:ascii="宋体" w:hAnsi="宋体" w:eastAsia="宋体" w:cs="宋体"/>
                <w:color w:val="000000" w:themeColor="text1"/>
                <w:spacing w:val="-2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pacing w:val="-1"/>
                <w:highlight w:val="none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式</w:t>
            </w:r>
          </w:p>
        </w:tc>
        <w:tc>
          <w:tcPr>
            <w:tcW w:w="474" w:type="dxa"/>
            <w:tcBorders>
              <w:tl2br w:val="nil"/>
              <w:tr2bl w:val="nil"/>
            </w:tcBorders>
            <w:textDirection w:val="tbRlV"/>
          </w:tcPr>
          <w:p w14:paraId="1FD36B7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28" w:line="180" w:lineRule="auto"/>
              <w:ind w:firstLine="212"/>
              <w:jc w:val="center"/>
              <w:textAlignment w:val="baseline"/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pacing w:val="-1"/>
                <w:highlight w:val="none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类</w:t>
            </w:r>
            <w:r>
              <w:rPr>
                <w:rFonts w:ascii="宋体" w:hAnsi="宋体" w:eastAsia="宋体" w:cs="宋体"/>
                <w:color w:val="000000" w:themeColor="text1"/>
                <w:spacing w:val="33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宋体" w:hAnsi="宋体" w:eastAsia="宋体" w:cs="宋体"/>
                <w:color w:val="000000" w:themeColor="text1"/>
                <w:spacing w:val="-1"/>
                <w:highlight w:val="none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别</w:t>
            </w:r>
          </w:p>
        </w:tc>
        <w:tc>
          <w:tcPr>
            <w:tcW w:w="8535" w:type="dxa"/>
            <w:tcBorders>
              <w:tl2br w:val="nil"/>
              <w:tr2bl w:val="nil"/>
            </w:tcBorders>
          </w:tcPr>
          <w:p w14:paraId="6716B545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452" w:lineRule="auto"/>
              <w:textAlignment w:val="baseline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2816B34C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184" w:lineRule="auto"/>
              <w:ind w:firstLine="3350"/>
              <w:textAlignment w:val="baseline"/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pacing w:val="-1"/>
                <w:highlight w:val="none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作业服务质量标准</w:t>
            </w:r>
          </w:p>
        </w:tc>
        <w:tc>
          <w:tcPr>
            <w:tcW w:w="4402" w:type="dxa"/>
            <w:tcBorders>
              <w:tl2br w:val="nil"/>
              <w:tr2bl w:val="nil"/>
            </w:tcBorders>
          </w:tcPr>
          <w:p w14:paraId="378A492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452" w:lineRule="auto"/>
              <w:textAlignment w:val="baseline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6B722F9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184" w:lineRule="auto"/>
              <w:ind w:firstLine="1742"/>
              <w:textAlignment w:val="baseline"/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pacing w:val="-2"/>
                <w:highlight w:val="none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评分标准</w:t>
            </w:r>
          </w:p>
        </w:tc>
      </w:tr>
      <w:tr w14:paraId="3715AF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2" w:hRule="atLeast"/>
        </w:trPr>
        <w:tc>
          <w:tcPr>
            <w:tcW w:w="621" w:type="dxa"/>
            <w:vMerge w:val="restart"/>
            <w:tcBorders>
              <w:tl2br w:val="nil"/>
              <w:tr2bl w:val="nil"/>
            </w:tcBorders>
          </w:tcPr>
          <w:p w14:paraId="4FED754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78" w:lineRule="auto"/>
              <w:textAlignment w:val="baseline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1426450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78" w:lineRule="auto"/>
              <w:textAlignment w:val="baseline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366BE69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78" w:lineRule="auto"/>
              <w:textAlignment w:val="baseline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3B2AFF44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78" w:lineRule="auto"/>
              <w:textAlignment w:val="baseline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2020A42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78" w:lineRule="auto"/>
              <w:textAlignment w:val="baseline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62DF09D1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279" w:lineRule="exact"/>
              <w:ind w:firstLine="208"/>
              <w:textAlignment w:val="baseline"/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pacing w:val="3"/>
                <w:position w:val="7"/>
                <w:highlight w:val="none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2.</w:t>
            </w:r>
          </w:p>
          <w:p w14:paraId="31B32A9D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3" w:line="184" w:lineRule="auto"/>
              <w:ind w:firstLine="207"/>
              <w:textAlignment w:val="baseline"/>
              <w:rPr>
                <w:rFonts w:hint="eastAsia" w:ascii="宋体" w:hAnsi="宋体" w:eastAsia="宋体" w:cs="宋体"/>
                <w:color w:val="000000" w:themeColor="text1"/>
                <w:highlight w:val="none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道</w:t>
            </w:r>
          </w:p>
          <w:p w14:paraId="25F6BD5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3" w:line="184" w:lineRule="auto"/>
              <w:ind w:firstLine="207"/>
              <w:textAlignment w:val="baseline"/>
              <w:rPr>
                <w:rFonts w:hint="eastAsia" w:ascii="宋体" w:hAnsi="宋体" w:eastAsia="宋体" w:cs="宋体"/>
                <w:color w:val="000000" w:themeColor="text1"/>
                <w:highlight w:val="none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路</w:t>
            </w:r>
          </w:p>
          <w:p w14:paraId="2590FC71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3" w:line="184" w:lineRule="auto"/>
              <w:ind w:firstLine="207"/>
              <w:textAlignment w:val="baseline"/>
              <w:rPr>
                <w:rFonts w:hint="eastAsia" w:ascii="宋体" w:hAnsi="宋体" w:eastAsia="宋体" w:cs="宋体"/>
                <w:color w:val="000000" w:themeColor="text1"/>
                <w:highlight w:val="none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清</w:t>
            </w:r>
          </w:p>
          <w:p w14:paraId="127CEF6A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3" w:line="184" w:lineRule="auto"/>
              <w:ind w:firstLine="207"/>
              <w:textAlignment w:val="baseline"/>
              <w:rPr>
                <w:rFonts w:hint="eastAsia" w:ascii="宋体" w:hAnsi="宋体" w:eastAsia="宋体" w:cs="宋体"/>
                <w:color w:val="000000" w:themeColor="text1"/>
                <w:highlight w:val="none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扫</w:t>
            </w:r>
          </w:p>
          <w:p w14:paraId="27F9631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3" w:line="184" w:lineRule="auto"/>
              <w:ind w:firstLine="207"/>
              <w:textAlignment w:val="baseline"/>
              <w:rPr>
                <w:rFonts w:hint="eastAsia" w:ascii="宋体" w:hAnsi="宋体" w:eastAsia="宋体" w:cs="宋体"/>
                <w:color w:val="000000" w:themeColor="text1"/>
                <w:highlight w:val="none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保</w:t>
            </w:r>
          </w:p>
          <w:p w14:paraId="06E212EC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3" w:line="184" w:lineRule="auto"/>
              <w:ind w:firstLine="207"/>
              <w:textAlignment w:val="baseline"/>
              <w:rPr>
                <w:rFonts w:hint="eastAsia" w:ascii="宋体" w:hAnsi="宋体" w:eastAsia="宋体" w:cs="宋体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洁</w:t>
            </w:r>
          </w:p>
          <w:p w14:paraId="0E53F5A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225" w:line="131" w:lineRule="exact"/>
              <w:ind w:firstLine="204"/>
              <w:textAlignment w:val="baseline"/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highlight w:val="none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︵</w:t>
            </w:r>
          </w:p>
          <w:p w14:paraId="2F5F2E7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2" w:line="269" w:lineRule="exact"/>
              <w:ind w:firstLine="211" w:firstLineChars="100"/>
              <w:textAlignment w:val="baseline"/>
              <w:rPr>
                <w:rFonts w:hint="default" w:ascii="Calibri" w:hAnsi="Calibri" w:eastAsia="宋体" w:cs="Calibri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Calibri"/>
                <w:b/>
                <w:bCs/>
                <w:color w:val="000000" w:themeColor="text1"/>
                <w:position w:val="7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  <w:p w14:paraId="6612304C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" w:line="204" w:lineRule="auto"/>
              <w:ind w:firstLine="208"/>
              <w:textAlignment w:val="baseline"/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highlight w:val="none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  <w:p w14:paraId="6BFDE91D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16" w:line="180" w:lineRule="auto"/>
              <w:ind w:firstLine="204"/>
              <w:textAlignment w:val="baseline"/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highlight w:val="none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︶</w:t>
            </w:r>
          </w:p>
        </w:tc>
        <w:tc>
          <w:tcPr>
            <w:tcW w:w="565" w:type="dxa"/>
            <w:vMerge w:val="restart"/>
            <w:tcBorders>
              <w:tl2br w:val="nil"/>
              <w:tr2bl w:val="nil"/>
            </w:tcBorders>
            <w:textDirection w:val="tbRlV"/>
          </w:tcPr>
          <w:p w14:paraId="46963F4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1" w:line="180" w:lineRule="auto"/>
              <w:ind w:firstLine="3150"/>
              <w:textAlignment w:val="baseline"/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pacing w:val="-1"/>
                <w:highlight w:val="none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现</w:t>
            </w:r>
            <w:r>
              <w:rPr>
                <w:rFonts w:ascii="宋体" w:hAnsi="宋体" w:eastAsia="宋体" w:cs="宋体"/>
                <w:color w:val="000000" w:themeColor="text1"/>
                <w:spacing w:val="-2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pacing w:val="-1"/>
                <w:highlight w:val="none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场</w:t>
            </w:r>
            <w:r>
              <w:rPr>
                <w:rFonts w:ascii="宋体" w:hAnsi="宋体" w:eastAsia="宋体" w:cs="宋体"/>
                <w:color w:val="000000" w:themeColor="text1"/>
                <w:spacing w:val="-2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pacing w:val="-1"/>
                <w:highlight w:val="none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检</w:t>
            </w:r>
            <w:r>
              <w:rPr>
                <w:rFonts w:ascii="宋体" w:hAnsi="宋体" w:eastAsia="宋体" w:cs="宋体"/>
                <w:color w:val="000000" w:themeColor="text1"/>
                <w:spacing w:val="-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pacing w:val="-1"/>
                <w:highlight w:val="none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查</w:t>
            </w:r>
          </w:p>
        </w:tc>
        <w:tc>
          <w:tcPr>
            <w:tcW w:w="474" w:type="dxa"/>
            <w:tcBorders>
              <w:tl2br w:val="nil"/>
              <w:tr2bl w:val="nil"/>
            </w:tcBorders>
            <w:textDirection w:val="tbRlV"/>
          </w:tcPr>
          <w:p w14:paraId="4111064D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47" w:line="180" w:lineRule="auto"/>
              <w:jc w:val="both"/>
              <w:textAlignment w:val="baseline"/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pacing w:val="-2"/>
                <w:highlight w:val="none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人</w:t>
            </w:r>
            <w:r>
              <w:rPr>
                <w:rFonts w:ascii="宋体" w:hAnsi="宋体" w:eastAsia="宋体" w:cs="宋体"/>
                <w:color w:val="000000" w:themeColor="text1"/>
                <w:spacing w:val="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pacing w:val="-2"/>
                <w:highlight w:val="none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工</w:t>
            </w:r>
            <w:r>
              <w:rPr>
                <w:rFonts w:ascii="宋体" w:hAnsi="宋体" w:eastAsia="宋体" w:cs="宋体"/>
                <w:color w:val="000000" w:themeColor="text1"/>
                <w:spacing w:val="-2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pacing w:val="-2"/>
                <w:highlight w:val="none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清</w:t>
            </w:r>
            <w:r>
              <w:rPr>
                <w:rFonts w:ascii="宋体" w:hAnsi="宋体" w:eastAsia="宋体" w:cs="宋体"/>
                <w:color w:val="000000" w:themeColor="text1"/>
                <w:spacing w:val="-2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pacing w:val="-2"/>
                <w:highlight w:val="none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扫</w:t>
            </w:r>
            <w:r>
              <w:rPr>
                <w:rFonts w:ascii="宋体" w:hAnsi="宋体" w:eastAsia="宋体" w:cs="宋体"/>
                <w:color w:val="000000" w:themeColor="text1"/>
                <w:spacing w:val="-2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pacing w:val="-2"/>
                <w:highlight w:val="none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作</w:t>
            </w:r>
            <w:r>
              <w:rPr>
                <w:rFonts w:ascii="宋体" w:hAnsi="宋体" w:eastAsia="宋体" w:cs="宋体"/>
                <w:color w:val="000000" w:themeColor="text1"/>
                <w:spacing w:val="-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pacing w:val="-2"/>
                <w:highlight w:val="none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</w:tc>
        <w:tc>
          <w:tcPr>
            <w:tcW w:w="8535" w:type="dxa"/>
            <w:tcBorders>
              <w:tl2br w:val="nil"/>
              <w:tr2bl w:val="nil"/>
            </w:tcBorders>
          </w:tcPr>
          <w:p w14:paraId="36C801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eastAsia="宋体"/>
                <w:b/>
                <w:bCs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b/>
                <w:bCs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人工清扫：</w:t>
            </w:r>
            <w:r>
              <w:rPr>
                <w:b w:val="0"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夏季（4月</w:t>
            </w:r>
            <w:r>
              <w:rPr>
                <w:rFonts w:hint="eastAsia" w:eastAsia="宋体"/>
                <w:b w:val="0"/>
                <w:bCs w:val="0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1日</w:t>
            </w:r>
            <w:r>
              <w:rPr>
                <w:b w:val="0"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-10月</w:t>
            </w:r>
            <w:r>
              <w:rPr>
                <w:rFonts w:hint="eastAsia" w:eastAsia="宋体"/>
                <w:b w:val="0"/>
                <w:bCs w:val="0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31日</w:t>
            </w:r>
            <w:r>
              <w:rPr>
                <w:b w:val="0"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） </w:t>
            </w:r>
            <w:r>
              <w:rPr>
                <w:rFonts w:hint="eastAsia" w:eastAsia="宋体"/>
                <w:b w:val="0"/>
                <w:bCs w:val="0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每日7</w:t>
            </w:r>
            <w:r>
              <w:rPr>
                <w:rFonts w:hint="eastAsia"/>
                <w:b w:val="0"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eastAsia="宋体"/>
                <w:b w:val="0"/>
                <w:bCs w:val="0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/>
                <w:b w:val="0"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b w:val="0"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前完成</w:t>
            </w:r>
            <w:r>
              <w:rPr>
                <w:rFonts w:hint="eastAsia" w:eastAsia="宋体"/>
                <w:b w:val="0"/>
                <w:bCs w:val="0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普</w:t>
            </w:r>
            <w:r>
              <w:rPr>
                <w:b w:val="0"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扫，冬季（11月</w:t>
            </w:r>
            <w:r>
              <w:rPr>
                <w:rFonts w:hint="eastAsia" w:eastAsia="宋体"/>
                <w:b w:val="0"/>
                <w:bCs w:val="0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1日</w:t>
            </w:r>
            <w:r>
              <w:rPr>
                <w:b w:val="0"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eastAsia="宋体"/>
                <w:b w:val="0"/>
                <w:bCs w:val="0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次年</w:t>
            </w:r>
            <w:r>
              <w:rPr>
                <w:b w:val="0"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3月</w:t>
            </w:r>
            <w:r>
              <w:rPr>
                <w:rFonts w:hint="eastAsia" w:eastAsia="宋体"/>
                <w:b w:val="0"/>
                <w:bCs w:val="0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31日）每日</w:t>
            </w:r>
            <w:r>
              <w:rPr>
                <w:b w:val="0"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7：</w:t>
            </w:r>
            <w:r>
              <w:rPr>
                <w:rFonts w:hint="eastAsia" w:eastAsia="宋体"/>
                <w:b w:val="0"/>
                <w:bCs w:val="0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/>
                <w:b w:val="0"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b w:val="0"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前完成普扫</w:t>
            </w:r>
            <w:r>
              <w:rPr>
                <w:rFonts w:hint="eastAsia" w:eastAsia="宋体"/>
                <w:b w:val="0"/>
                <w:bCs w:val="0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，每日作业不少于1次。</w:t>
            </w:r>
          </w:p>
          <w:p w14:paraId="2264045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  <w:rPr>
                <w:b w:val="0"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277C347C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  <w:rPr>
                <w:rFonts w:ascii="宋体" w:hAnsi="宋体" w:eastAsia="宋体" w:cs="宋体"/>
                <w:b w:val="0"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b/>
                <w:bCs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人工保洁：</w:t>
            </w:r>
            <w:r>
              <w:rPr>
                <w:rFonts w:hint="eastAsia" w:eastAsia="宋体"/>
                <w:b w:val="0"/>
                <w:bCs w:val="0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每日5：00-19：00进行作业。60分钟巡回保洁1次。</w:t>
            </w:r>
          </w:p>
        </w:tc>
        <w:tc>
          <w:tcPr>
            <w:tcW w:w="4402" w:type="dxa"/>
            <w:tcBorders>
              <w:tl2br w:val="nil"/>
              <w:tr2bl w:val="nil"/>
            </w:tcBorders>
          </w:tcPr>
          <w:p w14:paraId="67265421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43" w:lineRule="auto"/>
              <w:textAlignment w:val="baseline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575D8A8C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43" w:lineRule="auto"/>
              <w:textAlignment w:val="baseline"/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7FD82804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pacing w:val="-6"/>
                <w:highlight w:val="none"/>
                <w14:textFill>
                  <w14:solidFill>
                    <w14:schemeClr w14:val="tx1"/>
                  </w14:solidFill>
                </w14:textFill>
              </w:rPr>
              <w:t>作业时间未达到规定标准要求的，每违反一项扣</w:t>
            </w:r>
            <w:r>
              <w:rPr>
                <w:rFonts w:ascii="宋体" w:hAnsi="宋体" w:eastAsia="宋体" w:cs="宋体"/>
                <w:color w:val="000000" w:themeColor="text1"/>
                <w:spacing w:val="-3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pacing w:val="-6"/>
                <w:highlight w:val="none"/>
                <w14:textFill>
                  <w14:solidFill>
                    <w14:schemeClr w14:val="tx1"/>
                  </w14:solidFill>
                </w14:textFill>
              </w:rPr>
              <w:t>0.2</w:t>
            </w:r>
            <w:r>
              <w:rPr>
                <w:rFonts w:ascii="宋体" w:hAnsi="宋体" w:eastAsia="宋体" w:cs="宋体"/>
                <w:color w:val="000000" w:themeColor="text1"/>
                <w:spacing w:val="-43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pacing w:val="-6"/>
                <w:highlight w:val="none"/>
                <w14:textFill>
                  <w14:solidFill>
                    <w14:schemeClr w14:val="tx1"/>
                  </w14:solidFill>
                </w14:textFill>
              </w:rPr>
              <w:t>分。</w:t>
            </w:r>
          </w:p>
        </w:tc>
      </w:tr>
      <w:tr w14:paraId="43C8A7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0" w:hRule="atLeast"/>
        </w:trPr>
        <w:tc>
          <w:tcPr>
            <w:tcW w:w="621" w:type="dxa"/>
            <w:vMerge w:val="continue"/>
            <w:tcBorders>
              <w:tl2br w:val="nil"/>
              <w:tr2bl w:val="nil"/>
            </w:tcBorders>
          </w:tcPr>
          <w:p w14:paraId="6E22479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dxa"/>
            <w:vMerge w:val="continue"/>
            <w:tcBorders>
              <w:tl2br w:val="nil"/>
              <w:tr2bl w:val="nil"/>
            </w:tcBorders>
            <w:textDirection w:val="tbRlV"/>
          </w:tcPr>
          <w:p w14:paraId="65648DE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dxa"/>
            <w:tcBorders>
              <w:tl2br w:val="nil"/>
              <w:tr2bl w:val="nil"/>
            </w:tcBorders>
            <w:textDirection w:val="tbRlV"/>
          </w:tcPr>
          <w:p w14:paraId="4E2B1F8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27" w:line="180" w:lineRule="auto"/>
              <w:ind w:firstLine="637"/>
              <w:textAlignment w:val="baseline"/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pacing w:val="-2"/>
                <w:highlight w:val="none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机</w:t>
            </w:r>
            <w:r>
              <w:rPr>
                <w:rFonts w:ascii="宋体" w:hAnsi="宋体" w:eastAsia="宋体" w:cs="宋体"/>
                <w:color w:val="000000" w:themeColor="text1"/>
                <w:spacing w:val="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pacing w:val="-2"/>
                <w:highlight w:val="none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械</w:t>
            </w:r>
            <w:r>
              <w:rPr>
                <w:rFonts w:ascii="宋体" w:hAnsi="宋体" w:eastAsia="宋体" w:cs="宋体"/>
                <w:color w:val="000000" w:themeColor="text1"/>
                <w:spacing w:val="-2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pacing w:val="-2"/>
                <w:highlight w:val="none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清</w:t>
            </w:r>
            <w:r>
              <w:rPr>
                <w:rFonts w:ascii="宋体" w:hAnsi="宋体" w:eastAsia="宋体" w:cs="宋体"/>
                <w:color w:val="000000" w:themeColor="text1"/>
                <w:spacing w:val="-2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pacing w:val="-2"/>
                <w:highlight w:val="none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扫</w:t>
            </w:r>
            <w:r>
              <w:rPr>
                <w:rFonts w:ascii="宋体" w:hAnsi="宋体" w:eastAsia="宋体" w:cs="宋体"/>
                <w:color w:val="000000" w:themeColor="text1"/>
                <w:spacing w:val="-2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pacing w:val="-2"/>
                <w:highlight w:val="none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作</w:t>
            </w:r>
            <w:r>
              <w:rPr>
                <w:rFonts w:ascii="宋体" w:hAnsi="宋体" w:eastAsia="宋体" w:cs="宋体"/>
                <w:color w:val="000000" w:themeColor="text1"/>
                <w:spacing w:val="-2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pacing w:val="-2"/>
                <w:highlight w:val="none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</w:tc>
        <w:tc>
          <w:tcPr>
            <w:tcW w:w="8535" w:type="dxa"/>
            <w:tcBorders>
              <w:tl2br w:val="nil"/>
              <w:tr2bl w:val="nil"/>
            </w:tcBorders>
          </w:tcPr>
          <w:p w14:paraId="3969C64E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机械清扫：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每年4月1日至10月31日每日7：00前完成作业；每年11月1日至次年3月31日每日7：30前完成作业。每日作业不少于1次。</w:t>
            </w:r>
          </w:p>
          <w:p w14:paraId="5A080AE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机械保洁：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一级、二级道路每日7：30—9：00和17：00—19：00以外的时间段作业。一道路每周作业不少于1次，全天候保洁。</w:t>
            </w:r>
          </w:p>
          <w:p w14:paraId="385A31F2">
            <w:pPr>
              <w:pStyle w:val="2"/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left="0" w:leftChars="0" w:firstLine="0" w:firstLineChars="0"/>
              <w:textAlignment w:val="baseline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 w:themeColor="text1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 w:themeColor="text1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机械清洗：</w:t>
            </w: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 w:themeColor="text1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每年4月1日至10月31日，每日7：00—9：00和17：00—19：00以外的时间段作业。道路每周作业不少于3次。</w:t>
            </w:r>
          </w:p>
          <w:p w14:paraId="056DFC4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机械</w:t>
            </w:r>
          </w:p>
          <w:p w14:paraId="6921510D">
            <w:pPr>
              <w:pStyle w:val="2"/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left="0" w:leftChars="0" w:firstLine="0" w:firstLineChars="0"/>
              <w:textAlignment w:val="baseline"/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 w:themeColor="text1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机械压尘：</w:t>
            </w: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 w:themeColor="text1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每年4月1日至10月31日进行道路每日作业1次，作业时段为9：30—11：30、13：30—16：30、19：30—23：30；高温、扬尘等特殊天气，重大活动及重大节假日，视情况道路机械压尘作业频次每日增加至1—3次。气温2℃及以下时应暂停机械压尘作业。</w:t>
            </w:r>
          </w:p>
        </w:tc>
        <w:tc>
          <w:tcPr>
            <w:tcW w:w="4402" w:type="dxa"/>
            <w:tcBorders>
              <w:tl2br w:val="nil"/>
              <w:tr2bl w:val="nil"/>
            </w:tcBorders>
          </w:tcPr>
          <w:p w14:paraId="707E6F0D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96" w:lineRule="auto"/>
              <w:textAlignment w:val="baseline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29574261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96" w:lineRule="auto"/>
              <w:textAlignment w:val="baseline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6D563D92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97" w:lineRule="auto"/>
              <w:textAlignment w:val="baseline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034D12C1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97" w:lineRule="auto"/>
              <w:textAlignment w:val="baseline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3ECEF34F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274" w:lineRule="auto"/>
              <w:ind w:left="114" w:right="110"/>
              <w:textAlignment w:val="baseline"/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pacing w:val="-6"/>
                <w:highlight w:val="none"/>
                <w14:textFill>
                  <w14:solidFill>
                    <w14:schemeClr w14:val="tx1"/>
                  </w14:solidFill>
                </w14:textFill>
              </w:rPr>
              <w:t>作业时间及频次未达到规定标准要求的，每违</w:t>
            </w:r>
            <w:r>
              <w:rPr>
                <w:rFonts w:ascii="宋体" w:hAnsi="宋体" w:eastAsia="宋体" w:cs="宋体"/>
                <w:color w:val="000000" w:themeColor="text1"/>
                <w:spacing w:val="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pacing w:val="-4"/>
                <w:highlight w:val="none"/>
                <w14:textFill>
                  <w14:solidFill>
                    <w14:schemeClr w14:val="tx1"/>
                  </w14:solidFill>
                </w14:textFill>
              </w:rPr>
              <w:t>反一项扣</w:t>
            </w:r>
            <w:r>
              <w:rPr>
                <w:rFonts w:ascii="宋体" w:hAnsi="宋体" w:eastAsia="宋体" w:cs="宋体"/>
                <w:color w:val="000000" w:themeColor="text1"/>
                <w:spacing w:val="-37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pacing w:val="-4"/>
                <w:highlight w:val="none"/>
                <w14:textFill>
                  <w14:solidFill>
                    <w14:schemeClr w14:val="tx1"/>
                  </w14:solidFill>
                </w14:textFill>
              </w:rPr>
              <w:t>0.5</w:t>
            </w:r>
            <w:r>
              <w:rPr>
                <w:rFonts w:ascii="宋体" w:hAnsi="宋体" w:eastAsia="宋体" w:cs="宋体"/>
                <w:color w:val="000000" w:themeColor="text1"/>
                <w:spacing w:val="-42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pacing w:val="-4"/>
                <w:highlight w:val="none"/>
                <w14:textFill>
                  <w14:solidFill>
                    <w14:schemeClr w14:val="tx1"/>
                  </w14:solidFill>
                </w14:textFill>
              </w:rPr>
              <w:t>分。</w:t>
            </w:r>
          </w:p>
        </w:tc>
      </w:tr>
      <w:tr w14:paraId="264C3F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7" w:hRule="atLeast"/>
        </w:trPr>
        <w:tc>
          <w:tcPr>
            <w:tcW w:w="621" w:type="dxa"/>
            <w:vMerge w:val="continue"/>
            <w:tcBorders>
              <w:tl2br w:val="nil"/>
              <w:tr2bl w:val="nil"/>
            </w:tcBorders>
          </w:tcPr>
          <w:p w14:paraId="7F3104C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dxa"/>
            <w:vMerge w:val="continue"/>
            <w:tcBorders>
              <w:tl2br w:val="nil"/>
              <w:tr2bl w:val="nil"/>
            </w:tcBorders>
            <w:textDirection w:val="tbRlV"/>
          </w:tcPr>
          <w:p w14:paraId="616BDEFD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dxa"/>
            <w:tcBorders>
              <w:tl2br w:val="nil"/>
              <w:tr2bl w:val="nil"/>
            </w:tcBorders>
            <w:textDirection w:val="tbRlV"/>
          </w:tcPr>
          <w:p w14:paraId="3F59E30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27" w:line="180" w:lineRule="auto"/>
              <w:ind w:firstLine="637"/>
              <w:textAlignment w:val="baseline"/>
              <w:rPr>
                <w:rFonts w:hint="eastAsia" w:ascii="宋体" w:hAnsi="宋体" w:eastAsia="宋体" w:cs="宋体"/>
                <w:color w:val="000000" w:themeColor="text1"/>
                <w:spacing w:val="-2"/>
                <w:highlight w:val="none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"/>
                <w:highlight w:val="none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  <w14:textFill>
                  <w14:solidFill>
                    <w14:schemeClr w14:val="tx1"/>
                  </w14:solidFill>
                </w14:textFill>
              </w:rPr>
              <w:t>其他作业</w:t>
            </w:r>
          </w:p>
        </w:tc>
        <w:tc>
          <w:tcPr>
            <w:tcW w:w="8535" w:type="dxa"/>
            <w:tcBorders>
              <w:tl2br w:val="nil"/>
              <w:tr2bl w:val="nil"/>
            </w:tcBorders>
          </w:tcPr>
          <w:p w14:paraId="568465E2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4" w:line="274" w:lineRule="auto"/>
              <w:ind w:right="90"/>
              <w:textAlignment w:val="baseline"/>
              <w:rPr>
                <w:rFonts w:hint="default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小广告清除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全天作业</w:t>
            </w: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default"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繁华商业街区、交通枢纽、旅游景区、污染严重等地区2小时巡回清除1次；其他路段12小时巡回清除1次。</w:t>
            </w:r>
          </w:p>
          <w:p w14:paraId="54EF184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4" w:line="274" w:lineRule="auto"/>
              <w:ind w:right="90"/>
              <w:textAlignment w:val="baseline"/>
              <w:rPr>
                <w:rFonts w:ascii="宋体" w:hAnsi="宋体" w:eastAsia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非机动车辆及共享单车管理：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全天作业，大型商业街区、公共交通站点、学校、医院、公园、广场、旅游景区等人口密集区应安排人员驻守管理，随时巡回摆放，维护市容市貌；其他路段4小时巡回摆放1次。</w:t>
            </w:r>
          </w:p>
        </w:tc>
        <w:tc>
          <w:tcPr>
            <w:tcW w:w="4402" w:type="dxa"/>
            <w:tcBorders>
              <w:tl2br w:val="nil"/>
              <w:tr2bl w:val="nil"/>
            </w:tcBorders>
          </w:tcPr>
          <w:p w14:paraId="59F8125D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274" w:lineRule="auto"/>
              <w:ind w:left="114" w:right="110"/>
              <w:textAlignment w:val="baseline"/>
              <w:rPr>
                <w:rFonts w:ascii="宋体" w:hAnsi="宋体" w:eastAsia="宋体" w:cs="宋体"/>
                <w:color w:val="000000" w:themeColor="text1"/>
                <w:spacing w:val="-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pacing w:val="-6"/>
                <w:highlight w:val="none"/>
                <w14:textFill>
                  <w14:solidFill>
                    <w14:schemeClr w14:val="tx1"/>
                  </w14:solidFill>
                </w14:textFill>
              </w:rPr>
              <w:t>作业时间及频次未达到规定标准要求的，每违</w:t>
            </w:r>
            <w:r>
              <w:rPr>
                <w:rFonts w:ascii="宋体" w:hAnsi="宋体" w:eastAsia="宋体" w:cs="宋体"/>
                <w:color w:val="000000" w:themeColor="text1"/>
                <w:spacing w:val="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pacing w:val="-4"/>
                <w:highlight w:val="none"/>
                <w14:textFill>
                  <w14:solidFill>
                    <w14:schemeClr w14:val="tx1"/>
                  </w14:solidFill>
                </w14:textFill>
              </w:rPr>
              <w:t>反一项扣</w:t>
            </w:r>
            <w:r>
              <w:rPr>
                <w:rFonts w:ascii="宋体" w:hAnsi="宋体" w:eastAsia="宋体" w:cs="宋体"/>
                <w:color w:val="000000" w:themeColor="text1"/>
                <w:spacing w:val="-37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pacing w:val="-4"/>
                <w:highlight w:val="none"/>
                <w14:textFill>
                  <w14:solidFill>
                    <w14:schemeClr w14:val="tx1"/>
                  </w14:solidFill>
                </w14:textFill>
              </w:rPr>
              <w:t>0.5</w:t>
            </w:r>
            <w:r>
              <w:rPr>
                <w:rFonts w:ascii="宋体" w:hAnsi="宋体" w:eastAsia="宋体" w:cs="宋体"/>
                <w:color w:val="000000" w:themeColor="text1"/>
                <w:spacing w:val="-42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pacing w:val="-4"/>
                <w:highlight w:val="none"/>
                <w14:textFill>
                  <w14:solidFill>
                    <w14:schemeClr w14:val="tx1"/>
                  </w14:solidFill>
                </w14:textFill>
              </w:rPr>
              <w:t>分。</w:t>
            </w:r>
          </w:p>
        </w:tc>
      </w:tr>
    </w:tbl>
    <w:p w14:paraId="0670758C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textAlignment w:val="baseline"/>
      </w:pPr>
    </w:p>
    <w:p w14:paraId="5D17CE3F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textAlignment w:val="baseline"/>
        <w:sectPr>
          <w:footerReference r:id="rId4" w:type="default"/>
          <w:pgSz w:w="16838" w:h="11905" w:orient="landscape"/>
          <w:pgMar w:top="1015" w:right="1344" w:bottom="1145" w:left="879" w:header="0" w:footer="94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</w:sectPr>
      </w:pPr>
    </w:p>
    <w:p w14:paraId="06408608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spacing w:line="224" w:lineRule="exact"/>
        <w:textAlignment w:val="baseline"/>
      </w:pPr>
    </w:p>
    <w:tbl>
      <w:tblPr>
        <w:tblStyle w:val="13"/>
        <w:tblW w:w="1432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0"/>
        <w:gridCol w:w="555"/>
        <w:gridCol w:w="658"/>
        <w:gridCol w:w="8298"/>
        <w:gridCol w:w="4199"/>
      </w:tblGrid>
      <w:tr w14:paraId="47579A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  <w:jc w:val="center"/>
        </w:trPr>
        <w:tc>
          <w:tcPr>
            <w:tcW w:w="610" w:type="dxa"/>
            <w:textDirection w:val="tbRlV"/>
          </w:tcPr>
          <w:p w14:paraId="45F3E04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98" w:line="180" w:lineRule="auto"/>
              <w:ind w:firstLine="55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核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容</w:t>
            </w:r>
          </w:p>
        </w:tc>
        <w:tc>
          <w:tcPr>
            <w:tcW w:w="555" w:type="dxa"/>
            <w:textDirection w:val="tbRlV"/>
          </w:tcPr>
          <w:p w14:paraId="4DB8DA0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2" w:line="180" w:lineRule="auto"/>
              <w:ind w:firstLine="55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核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方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式</w:t>
            </w:r>
          </w:p>
        </w:tc>
        <w:tc>
          <w:tcPr>
            <w:tcW w:w="658" w:type="dxa"/>
            <w:textDirection w:val="tbRlV"/>
          </w:tcPr>
          <w:p w14:paraId="42C5910F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28" w:line="180" w:lineRule="auto"/>
              <w:ind w:firstLine="367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别</w:t>
            </w:r>
          </w:p>
        </w:tc>
        <w:tc>
          <w:tcPr>
            <w:tcW w:w="8298" w:type="dxa"/>
          </w:tcPr>
          <w:p w14:paraId="6FB63BAD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451" w:lineRule="auto"/>
              <w:textAlignment w:val="baseline"/>
            </w:pPr>
          </w:p>
          <w:p w14:paraId="1D7A418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184" w:lineRule="auto"/>
              <w:ind w:firstLine="3412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作业服务质量标准</w:t>
            </w:r>
          </w:p>
        </w:tc>
        <w:tc>
          <w:tcPr>
            <w:tcW w:w="4199" w:type="dxa"/>
          </w:tcPr>
          <w:p w14:paraId="656DF02D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451" w:lineRule="auto"/>
              <w:textAlignment w:val="baseline"/>
            </w:pPr>
          </w:p>
          <w:p w14:paraId="1012663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184" w:lineRule="auto"/>
              <w:ind w:firstLine="1683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评分标准</w:t>
            </w:r>
          </w:p>
        </w:tc>
      </w:tr>
      <w:tr w14:paraId="3608D3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5" w:hRule="atLeast"/>
          <w:jc w:val="center"/>
        </w:trPr>
        <w:tc>
          <w:tcPr>
            <w:tcW w:w="610" w:type="dxa"/>
            <w:vMerge w:val="restart"/>
            <w:tcBorders>
              <w:bottom w:val="nil"/>
            </w:tcBorders>
          </w:tcPr>
          <w:p w14:paraId="132AD83F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70" w:lineRule="auto"/>
              <w:textAlignment w:val="baseline"/>
            </w:pPr>
          </w:p>
          <w:p w14:paraId="38B715B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70" w:lineRule="auto"/>
              <w:textAlignment w:val="baseline"/>
            </w:pPr>
          </w:p>
          <w:p w14:paraId="22753F9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70" w:lineRule="auto"/>
              <w:textAlignment w:val="baseline"/>
            </w:pPr>
          </w:p>
          <w:p w14:paraId="7CE97121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71" w:lineRule="auto"/>
              <w:textAlignment w:val="baseline"/>
            </w:pPr>
          </w:p>
          <w:p w14:paraId="609BC02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279" w:lineRule="exact"/>
              <w:ind w:firstLine="214" w:firstLineChars="100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  <w:position w:val="7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position w:val="7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</w:t>
            </w:r>
          </w:p>
          <w:p w14:paraId="527F917A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3" w:line="184" w:lineRule="auto"/>
              <w:ind w:firstLine="207"/>
              <w:textAlignment w:val="baseline"/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道</w:t>
            </w:r>
          </w:p>
          <w:p w14:paraId="3416A4EE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3" w:line="184" w:lineRule="auto"/>
              <w:ind w:firstLine="207"/>
              <w:textAlignment w:val="baseline"/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路</w:t>
            </w:r>
          </w:p>
          <w:p w14:paraId="4E692C5D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3" w:line="184" w:lineRule="auto"/>
              <w:ind w:firstLine="207"/>
              <w:textAlignment w:val="baseline"/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清</w:t>
            </w:r>
          </w:p>
          <w:p w14:paraId="426B180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3" w:line="184" w:lineRule="auto"/>
              <w:ind w:firstLine="207"/>
              <w:textAlignment w:val="baseline"/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扫</w:t>
            </w:r>
          </w:p>
          <w:p w14:paraId="032D519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3" w:line="184" w:lineRule="auto"/>
              <w:ind w:firstLine="207"/>
              <w:textAlignment w:val="baseline"/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保</w:t>
            </w:r>
          </w:p>
          <w:p w14:paraId="42114154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3" w:line="184" w:lineRule="auto"/>
              <w:ind w:firstLine="207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洁</w:t>
            </w:r>
          </w:p>
          <w:p w14:paraId="1B332BBE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225" w:line="131" w:lineRule="exact"/>
              <w:ind w:firstLine="204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︵</w:t>
            </w:r>
          </w:p>
          <w:p w14:paraId="10A6C07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" w:line="204" w:lineRule="auto"/>
              <w:ind w:firstLine="208"/>
              <w:textAlignment w:val="baseline"/>
              <w:rPr>
                <w:rFonts w:hint="eastAsia" w:ascii="Calibri" w:hAnsi="Calibri" w:eastAsia="宋体" w:cs="Calibri"/>
                <w:b/>
                <w:bCs/>
                <w:spacing w:val="-5"/>
                <w:position w:val="7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b/>
                <w:bCs/>
                <w:spacing w:val="-5"/>
                <w:position w:val="7"/>
                <w:lang w:val="en-US" w:eastAsia="zh-CN"/>
              </w:rPr>
              <w:t>30</w:t>
            </w:r>
          </w:p>
          <w:p w14:paraId="17A20F9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" w:line="204" w:lineRule="auto"/>
              <w:ind w:firstLine="208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</w:t>
            </w:r>
          </w:p>
          <w:p w14:paraId="4F612F2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16" w:line="180" w:lineRule="auto"/>
              <w:ind w:firstLine="204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︶</w:t>
            </w:r>
          </w:p>
        </w:tc>
        <w:tc>
          <w:tcPr>
            <w:tcW w:w="555" w:type="dxa"/>
            <w:vMerge w:val="restart"/>
            <w:tcBorders>
              <w:bottom w:val="nil"/>
            </w:tcBorders>
            <w:textDirection w:val="tbRlV"/>
          </w:tcPr>
          <w:p w14:paraId="38FE2BBE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2" w:line="180" w:lineRule="auto"/>
              <w:ind w:firstLine="3151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现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场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检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查</w:t>
            </w:r>
          </w:p>
        </w:tc>
        <w:tc>
          <w:tcPr>
            <w:tcW w:w="658" w:type="dxa"/>
            <w:textDirection w:val="tbRlV"/>
          </w:tcPr>
          <w:p w14:paraId="0B3978F2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48" w:line="180" w:lineRule="auto"/>
              <w:ind w:firstLine="209"/>
              <w:jc w:val="center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路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面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保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洁</w:t>
            </w:r>
          </w:p>
        </w:tc>
        <w:tc>
          <w:tcPr>
            <w:tcW w:w="8298" w:type="dxa"/>
            <w:vAlign w:val="center"/>
          </w:tcPr>
          <w:p w14:paraId="3F9CB0B1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jc w:val="both"/>
              <w:textAlignment w:val="baseline"/>
            </w:pPr>
            <w:r>
              <w:rPr>
                <w:rFonts w:hint="eastAsia"/>
              </w:rPr>
              <w:t>1.路面、墙根、树坑、砖缝、花池等，无烟头垃圾杂物、无积土杂草；树上无悬挂物，无白色垃圾；</w:t>
            </w:r>
          </w:p>
          <w:p w14:paraId="4511CF05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54" w:line="274" w:lineRule="auto"/>
              <w:ind w:right="294"/>
              <w:jc w:val="both"/>
              <w:textAlignment w:val="baseline"/>
            </w:pPr>
            <w:r>
              <w:rPr>
                <w:rFonts w:hint="eastAsia"/>
              </w:rPr>
              <w:t>2.绿化带、花池内，无烟头、无纸屑、无杂物，马路道牙下无积土；</w:t>
            </w:r>
          </w:p>
          <w:p w14:paraId="0D3A79A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54" w:line="274" w:lineRule="auto"/>
              <w:ind w:right="294"/>
              <w:jc w:val="both"/>
              <w:textAlignment w:val="baseline"/>
            </w:pPr>
            <w:r>
              <w:rPr>
                <w:rFonts w:hint="eastAsia"/>
              </w:rPr>
              <w:t>3.小街巷、平房区清扫保洁应保持干净整洁，无积存垃圾；</w:t>
            </w:r>
          </w:p>
          <w:p w14:paraId="1BF967C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54" w:line="274" w:lineRule="auto"/>
              <w:ind w:right="294"/>
              <w:jc w:val="both"/>
              <w:textAlignment w:val="baseline"/>
            </w:pPr>
            <w:r>
              <w:rPr>
                <w:rFonts w:hint="eastAsia"/>
              </w:rPr>
              <w:t>4.收水口物见本色，无污垢、无垃圾；</w:t>
            </w:r>
          </w:p>
          <w:p w14:paraId="453ECFD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54" w:line="274" w:lineRule="auto"/>
              <w:ind w:right="294"/>
              <w:jc w:val="both"/>
              <w:textAlignment w:val="baseline"/>
            </w:pPr>
            <w:r>
              <w:rPr>
                <w:rFonts w:hint="eastAsia"/>
              </w:rPr>
              <w:t>5.保洁车箱体整洁干净，车身前后无吊挂物。</w:t>
            </w:r>
          </w:p>
        </w:tc>
        <w:tc>
          <w:tcPr>
            <w:tcW w:w="4199" w:type="dxa"/>
            <w:vMerge w:val="restart"/>
            <w:tcBorders>
              <w:bottom w:val="nil"/>
            </w:tcBorders>
          </w:tcPr>
          <w:p w14:paraId="1BF93B32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5" w:lineRule="auto"/>
              <w:textAlignment w:val="baseline"/>
            </w:pPr>
          </w:p>
          <w:p w14:paraId="675988BE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5" w:lineRule="auto"/>
              <w:textAlignment w:val="baseline"/>
            </w:pPr>
          </w:p>
          <w:p w14:paraId="4EB3363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5" w:lineRule="auto"/>
              <w:textAlignment w:val="baseline"/>
            </w:pPr>
          </w:p>
          <w:p w14:paraId="75E8F735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5" w:lineRule="auto"/>
              <w:textAlignment w:val="baseline"/>
            </w:pPr>
          </w:p>
          <w:p w14:paraId="1B27978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5" w:lineRule="auto"/>
              <w:textAlignment w:val="baseline"/>
            </w:pPr>
          </w:p>
          <w:p w14:paraId="0AD274B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5" w:lineRule="auto"/>
              <w:textAlignment w:val="baseline"/>
            </w:pPr>
          </w:p>
          <w:p w14:paraId="2C06CA9D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5" w:lineRule="auto"/>
              <w:textAlignment w:val="baseline"/>
            </w:pPr>
          </w:p>
          <w:p w14:paraId="3984DDEE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6" w:lineRule="auto"/>
              <w:textAlignment w:val="baseline"/>
            </w:pPr>
          </w:p>
          <w:p w14:paraId="637417A1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6" w:lineRule="auto"/>
              <w:textAlignment w:val="baseline"/>
            </w:pPr>
          </w:p>
          <w:p w14:paraId="5A9C286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6" w:lineRule="auto"/>
              <w:textAlignment w:val="baseline"/>
            </w:pPr>
          </w:p>
          <w:p w14:paraId="75D2D1B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6" w:lineRule="auto"/>
              <w:textAlignment w:val="baseline"/>
            </w:pPr>
          </w:p>
          <w:p w14:paraId="701922CF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6" w:lineRule="auto"/>
              <w:textAlignment w:val="baseline"/>
            </w:pPr>
          </w:p>
          <w:p w14:paraId="16E965F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274" w:lineRule="auto"/>
              <w:ind w:left="115" w:right="108" w:firstLine="2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>发现问题后，按整改时限计时，在规定时间</w:t>
            </w:r>
            <w:r>
              <w:rPr>
                <w:rFonts w:ascii="宋体" w:hAnsi="宋体" w:eastAsia="宋体" w:cs="宋体"/>
                <w:spacing w:val="15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</w:rPr>
              <w:t>内完成整改则不扣分，在规定时间内未完成</w:t>
            </w:r>
            <w:r>
              <w:rPr>
                <w:rFonts w:ascii="宋体" w:hAnsi="宋体" w:eastAsia="宋体" w:cs="宋体"/>
                <w:spacing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</w:rPr>
              <w:t>整改，每处扣</w:t>
            </w:r>
            <w:r>
              <w:rPr>
                <w:rFonts w:ascii="宋体" w:hAnsi="宋体" w:eastAsia="宋体" w:cs="宋体"/>
                <w:spacing w:val="-42"/>
              </w:rPr>
              <w:t xml:space="preserve"> </w:t>
            </w:r>
            <w:r>
              <w:rPr>
                <w:rFonts w:ascii="Calibri" w:hAnsi="Calibri" w:eastAsia="Calibri" w:cs="Calibri"/>
                <w:spacing w:val="-3"/>
              </w:rPr>
              <w:t>0.1</w:t>
            </w:r>
            <w:r>
              <w:rPr>
                <w:rFonts w:ascii="宋体" w:hAnsi="宋体" w:eastAsia="宋体" w:cs="宋体"/>
                <w:spacing w:val="-3"/>
              </w:rPr>
              <w:t>分。</w:t>
            </w:r>
          </w:p>
        </w:tc>
      </w:tr>
      <w:tr w14:paraId="21B147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8" w:hRule="atLeast"/>
          <w:jc w:val="center"/>
        </w:trPr>
        <w:tc>
          <w:tcPr>
            <w:tcW w:w="610" w:type="dxa"/>
            <w:vMerge w:val="continue"/>
            <w:tcBorders>
              <w:top w:val="nil"/>
              <w:bottom w:val="nil"/>
            </w:tcBorders>
          </w:tcPr>
          <w:p w14:paraId="29699BA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555" w:type="dxa"/>
            <w:vMerge w:val="continue"/>
            <w:tcBorders>
              <w:top w:val="nil"/>
              <w:bottom w:val="nil"/>
            </w:tcBorders>
            <w:textDirection w:val="tbRlV"/>
          </w:tcPr>
          <w:p w14:paraId="496464A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658" w:type="dxa"/>
            <w:textDirection w:val="tbRlV"/>
          </w:tcPr>
          <w:p w14:paraId="0DD14CB2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47" w:line="180" w:lineRule="auto"/>
              <w:ind w:firstLine="54"/>
              <w:jc w:val="center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路</w:t>
            </w:r>
            <w:r>
              <w:rPr>
                <w:rFonts w:ascii="宋体" w:hAnsi="宋体" w:eastAsia="宋体" w:cs="宋体"/>
                <w:spacing w:val="6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面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废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弃</w:t>
            </w:r>
            <w:r>
              <w:rPr>
                <w:rFonts w:ascii="宋体" w:hAnsi="宋体" w:eastAsia="宋体" w:cs="宋体"/>
                <w:spacing w:val="-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物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控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指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标</w:t>
            </w:r>
          </w:p>
        </w:tc>
        <w:tc>
          <w:tcPr>
            <w:tcW w:w="8298" w:type="dxa"/>
          </w:tcPr>
          <w:p w14:paraId="37D83F91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  <w:p w14:paraId="3ACA141B">
            <w:pPr>
              <w:pStyle w:val="2"/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  <w:rPr>
                <w:rFonts w:hint="eastAsia" w:eastAsia="宋体"/>
                <w:b/>
                <w:bCs/>
                <w:lang w:eastAsia="zh-CN"/>
              </w:rPr>
            </w:pPr>
          </w:p>
          <w:p w14:paraId="6E4916A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  <w:rPr>
                <w:rFonts w:eastAsia="宋体"/>
              </w:rPr>
            </w:pPr>
            <w:r>
              <w:rPr>
                <w:rFonts w:hint="eastAsia" w:eastAsia="宋体"/>
                <w:lang w:eastAsia="zh-CN"/>
              </w:rPr>
              <w:t>烟头、纸屑、瓜果皮核、</w:t>
            </w:r>
            <w:r>
              <w:rPr>
                <w:rFonts w:hint="eastAsia"/>
              </w:rPr>
              <w:t>痰迹</w:t>
            </w:r>
            <w:r>
              <w:rPr>
                <w:rFonts w:hint="eastAsia" w:eastAsia="宋体"/>
                <w:lang w:eastAsia="zh-CN"/>
              </w:rPr>
              <w:t>等每百</w:t>
            </w:r>
            <w:r>
              <w:rPr>
                <w:rFonts w:hint="eastAsia" w:ascii="宋体" w:hAnsi="宋体" w:eastAsia="宋体" w:cs="宋体"/>
                <w:lang w:eastAsia="zh-CN"/>
              </w:rPr>
              <w:t>㎡</w:t>
            </w:r>
            <w:r>
              <w:rPr>
                <w:rFonts w:hint="eastAsia" w:eastAsia="宋体"/>
                <w:lang w:eastAsia="zh-CN"/>
              </w:rPr>
              <w:t>不应超过</w:t>
            </w:r>
            <w:r>
              <w:rPr>
                <w:rFonts w:hint="eastAsia" w:eastAsia="宋体"/>
                <w:lang w:val="en-US" w:eastAsia="zh-CN"/>
              </w:rPr>
              <w:t>2处，砖头、石块等杂物</w:t>
            </w:r>
            <w:r>
              <w:rPr>
                <w:rFonts w:hint="eastAsia" w:eastAsia="宋体"/>
                <w:lang w:eastAsia="zh-CN"/>
              </w:rPr>
              <w:t>每百</w:t>
            </w:r>
            <w:r>
              <w:rPr>
                <w:rFonts w:hint="eastAsia" w:ascii="宋体" w:hAnsi="宋体" w:eastAsia="宋体" w:cs="宋体"/>
                <w:lang w:eastAsia="zh-CN"/>
              </w:rPr>
              <w:t>㎡</w:t>
            </w:r>
            <w:r>
              <w:rPr>
                <w:rFonts w:hint="eastAsia" w:eastAsia="宋体"/>
                <w:lang w:eastAsia="zh-CN"/>
              </w:rPr>
              <w:t>不应超过</w:t>
            </w:r>
            <w:r>
              <w:rPr>
                <w:rFonts w:hint="eastAsia" w:eastAsia="宋体"/>
                <w:lang w:val="en-US" w:eastAsia="zh-CN"/>
              </w:rPr>
              <w:t>1处；路面尘土残存量＜20g/</w:t>
            </w:r>
            <w:r>
              <w:rPr>
                <w:rFonts w:hint="eastAsia" w:ascii="宋体" w:hAnsi="宋体" w:eastAsia="宋体" w:cs="宋体"/>
                <w:lang w:eastAsia="zh-CN"/>
              </w:rPr>
              <w:t>㎡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,非法宣传品每Km不超过5处。</w:t>
            </w:r>
          </w:p>
        </w:tc>
        <w:tc>
          <w:tcPr>
            <w:tcW w:w="4199" w:type="dxa"/>
            <w:vMerge w:val="continue"/>
            <w:tcBorders>
              <w:top w:val="nil"/>
              <w:bottom w:val="nil"/>
            </w:tcBorders>
          </w:tcPr>
          <w:p w14:paraId="3D345E7F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</w:tr>
      <w:tr w14:paraId="5FD4CE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5" w:hRule="atLeast"/>
          <w:jc w:val="center"/>
        </w:trPr>
        <w:tc>
          <w:tcPr>
            <w:tcW w:w="610" w:type="dxa"/>
            <w:vMerge w:val="continue"/>
            <w:tcBorders>
              <w:top w:val="nil"/>
            </w:tcBorders>
          </w:tcPr>
          <w:p w14:paraId="39F217A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555" w:type="dxa"/>
            <w:vMerge w:val="continue"/>
            <w:tcBorders>
              <w:top w:val="nil"/>
            </w:tcBorders>
            <w:textDirection w:val="tbRlV"/>
          </w:tcPr>
          <w:p w14:paraId="549DE0EC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658" w:type="dxa"/>
            <w:textDirection w:val="tbRlV"/>
          </w:tcPr>
          <w:p w14:paraId="65410DB5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48" w:line="180" w:lineRule="auto"/>
              <w:ind w:firstLine="208" w:firstLineChars="100"/>
              <w:jc w:val="center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整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改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时</w:t>
            </w:r>
            <w:r>
              <w:rPr>
                <w:rFonts w:ascii="宋体" w:hAnsi="宋体" w:eastAsia="宋体" w:cs="宋体"/>
                <w:spacing w:val="-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限</w:t>
            </w:r>
          </w:p>
        </w:tc>
        <w:tc>
          <w:tcPr>
            <w:tcW w:w="8298" w:type="dxa"/>
          </w:tcPr>
          <w:p w14:paraId="058A030E">
            <w:pPr>
              <w:pStyle w:val="6"/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0" w:after="0" w:line="240" w:lineRule="auto"/>
              <w:textAlignment w:val="baseline"/>
              <w:rPr>
                <w:rFonts w:eastAsia="宋体"/>
              </w:rPr>
            </w:pPr>
            <w:r>
              <w:rPr>
                <w:rFonts w:hint="eastAsia" w:eastAsia="宋体"/>
                <w:b w:val="0"/>
                <w:bCs/>
                <w:sz w:val="21"/>
                <w:lang w:eastAsia="zh-CN"/>
              </w:rPr>
              <w:t>烟头、纸屑、瓜果皮核、</w:t>
            </w:r>
            <w:r>
              <w:rPr>
                <w:rFonts w:hint="eastAsia" w:eastAsia="宋体"/>
                <w:b w:val="0"/>
                <w:bCs/>
                <w:sz w:val="21"/>
              </w:rPr>
              <w:t>痰迹及其他杂物滞留时间不超过</w:t>
            </w:r>
            <w:r>
              <w:rPr>
                <w:rFonts w:hint="eastAsia" w:eastAsia="宋体"/>
                <w:b w:val="0"/>
                <w:bCs/>
                <w:sz w:val="21"/>
                <w:lang w:val="en-US" w:eastAsia="zh-CN"/>
              </w:rPr>
              <w:t>60</w:t>
            </w:r>
            <w:r>
              <w:rPr>
                <w:rFonts w:hint="eastAsia" w:eastAsia="宋体"/>
                <w:b w:val="0"/>
                <w:bCs/>
                <w:sz w:val="21"/>
              </w:rPr>
              <w:t>分钟。</w:t>
            </w:r>
          </w:p>
        </w:tc>
        <w:tc>
          <w:tcPr>
            <w:tcW w:w="4199" w:type="dxa"/>
            <w:vMerge w:val="continue"/>
            <w:tcBorders>
              <w:top w:val="nil"/>
            </w:tcBorders>
          </w:tcPr>
          <w:p w14:paraId="5E339F2F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</w:tr>
    </w:tbl>
    <w:p w14:paraId="4F4E3FE5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textAlignment w:val="baseline"/>
      </w:pPr>
    </w:p>
    <w:p w14:paraId="6DFD1E62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textAlignment w:val="baseline"/>
        <w:sectPr>
          <w:footerReference r:id="rId5" w:type="default"/>
          <w:pgSz w:w="16838" w:h="11905" w:orient="landscape"/>
          <w:pgMar w:top="1015" w:right="1344" w:bottom="1145" w:left="879" w:header="0" w:footer="94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</w:sectPr>
      </w:pPr>
    </w:p>
    <w:tbl>
      <w:tblPr>
        <w:tblStyle w:val="13"/>
        <w:tblW w:w="14697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5"/>
        <w:gridCol w:w="569"/>
        <w:gridCol w:w="476"/>
        <w:gridCol w:w="8626"/>
        <w:gridCol w:w="4401"/>
      </w:tblGrid>
      <w:tr w14:paraId="2C7426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6" w:hRule="atLeast"/>
        </w:trPr>
        <w:tc>
          <w:tcPr>
            <w:tcW w:w="625" w:type="dxa"/>
            <w:tcBorders>
              <w:tl2br w:val="nil"/>
              <w:tr2bl w:val="nil"/>
            </w:tcBorders>
            <w:textDirection w:val="tbRlV"/>
          </w:tcPr>
          <w:p w14:paraId="325591FA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97" w:line="180" w:lineRule="auto"/>
              <w:ind w:firstLine="57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核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</w:t>
            </w:r>
            <w:r>
              <w:rPr>
                <w:rFonts w:ascii="宋体" w:hAnsi="宋体" w:eastAsia="宋体" w:cs="宋体"/>
                <w:spacing w:val="-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容</w:t>
            </w:r>
          </w:p>
        </w:tc>
        <w:tc>
          <w:tcPr>
            <w:tcW w:w="569" w:type="dxa"/>
            <w:tcBorders>
              <w:tl2br w:val="nil"/>
              <w:tr2bl w:val="nil"/>
            </w:tcBorders>
            <w:textDirection w:val="tbRlV"/>
          </w:tcPr>
          <w:p w14:paraId="4CFCB09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1" w:line="180" w:lineRule="auto"/>
              <w:ind w:firstLine="57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核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方</w:t>
            </w:r>
            <w:r>
              <w:rPr>
                <w:rFonts w:ascii="宋体" w:hAnsi="宋体" w:eastAsia="宋体" w:cs="宋体"/>
                <w:spacing w:val="-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式</w:t>
            </w:r>
          </w:p>
        </w:tc>
        <w:tc>
          <w:tcPr>
            <w:tcW w:w="476" w:type="dxa"/>
            <w:tcBorders>
              <w:tl2br w:val="nil"/>
              <w:tr2bl w:val="nil"/>
            </w:tcBorders>
            <w:textDirection w:val="tbRlV"/>
          </w:tcPr>
          <w:p w14:paraId="6E8CA014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28" w:line="180" w:lineRule="auto"/>
              <w:ind w:firstLine="369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别</w:t>
            </w:r>
          </w:p>
        </w:tc>
        <w:tc>
          <w:tcPr>
            <w:tcW w:w="8626" w:type="dxa"/>
            <w:tcBorders>
              <w:tl2br w:val="nil"/>
              <w:tr2bl w:val="nil"/>
            </w:tcBorders>
          </w:tcPr>
          <w:p w14:paraId="63233A2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  <w:p w14:paraId="76609F3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184" w:lineRule="auto"/>
              <w:ind w:firstLine="3367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作业服务质量标准</w:t>
            </w:r>
          </w:p>
        </w:tc>
        <w:tc>
          <w:tcPr>
            <w:tcW w:w="4401" w:type="dxa"/>
            <w:tcBorders>
              <w:tl2br w:val="nil"/>
              <w:tr2bl w:val="nil"/>
            </w:tcBorders>
          </w:tcPr>
          <w:p w14:paraId="21CEBD45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453" w:lineRule="auto"/>
              <w:textAlignment w:val="baseline"/>
            </w:pPr>
          </w:p>
          <w:p w14:paraId="3EA21F4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184" w:lineRule="auto"/>
              <w:ind w:firstLine="1726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评分标准</w:t>
            </w:r>
          </w:p>
        </w:tc>
      </w:tr>
      <w:tr w14:paraId="4D90DD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4" w:hRule="atLeast"/>
        </w:trPr>
        <w:tc>
          <w:tcPr>
            <w:tcW w:w="625" w:type="dxa"/>
            <w:vMerge w:val="restart"/>
            <w:tcBorders>
              <w:tl2br w:val="nil"/>
              <w:tr2bl w:val="nil"/>
            </w:tcBorders>
          </w:tcPr>
          <w:p w14:paraId="6D6E567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8" w:lineRule="auto"/>
              <w:textAlignment w:val="baseline"/>
            </w:pPr>
          </w:p>
          <w:p w14:paraId="2B79D33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8" w:lineRule="auto"/>
              <w:textAlignment w:val="baseline"/>
            </w:pPr>
          </w:p>
          <w:p w14:paraId="4674B825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8" w:lineRule="auto"/>
              <w:textAlignment w:val="baseline"/>
            </w:pPr>
          </w:p>
          <w:p w14:paraId="52DE41FF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8" w:lineRule="auto"/>
              <w:textAlignment w:val="baseline"/>
            </w:pPr>
          </w:p>
          <w:p w14:paraId="3FF1BB0E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8" w:lineRule="auto"/>
              <w:textAlignment w:val="baseline"/>
            </w:pPr>
          </w:p>
          <w:p w14:paraId="2F4BDBD1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8" w:lineRule="auto"/>
              <w:textAlignment w:val="baseline"/>
            </w:pPr>
          </w:p>
          <w:p w14:paraId="2B1BA84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8" w:lineRule="auto"/>
              <w:textAlignment w:val="baseline"/>
            </w:pPr>
          </w:p>
          <w:p w14:paraId="2A1CED3A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279" w:lineRule="exact"/>
              <w:ind w:firstLine="210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2"/>
                <w:position w:val="7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3.</w:t>
            </w:r>
          </w:p>
          <w:p w14:paraId="0B38FFF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279" w:lineRule="exact"/>
              <w:ind w:left="210" w:leftChars="100" w:firstLine="0" w:firstLineChars="0"/>
              <w:textAlignment w:val="baseline"/>
              <w:rPr>
                <w:rFonts w:hint="eastAsia" w:ascii="宋体" w:hAnsi="宋体" w:eastAsia="宋体" w:cs="宋体"/>
                <w:spacing w:val="2"/>
                <w:position w:val="7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2"/>
                <w:position w:val="7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垃圾</w:t>
            </w:r>
          </w:p>
          <w:p w14:paraId="6B8FF9AD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279" w:lineRule="exact"/>
              <w:ind w:firstLine="214" w:firstLineChars="100"/>
              <w:textAlignment w:val="baseline"/>
              <w:rPr>
                <w:rFonts w:hint="eastAsia" w:ascii="宋体" w:hAnsi="宋体" w:eastAsia="宋体" w:cs="宋体"/>
                <w:spacing w:val="2"/>
                <w:position w:val="7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2"/>
                <w:position w:val="7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收</w:t>
            </w:r>
          </w:p>
          <w:p w14:paraId="1E15B63E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279" w:lineRule="exact"/>
              <w:ind w:firstLine="214" w:firstLineChars="100"/>
              <w:textAlignment w:val="baseline"/>
              <w:rPr>
                <w:rFonts w:hint="eastAsia" w:ascii="宋体" w:hAnsi="宋体" w:eastAsia="宋体" w:cs="宋体"/>
                <w:spacing w:val="2"/>
                <w:position w:val="7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2"/>
                <w:position w:val="7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集</w:t>
            </w:r>
          </w:p>
          <w:p w14:paraId="6D71E7A5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279" w:lineRule="exact"/>
              <w:ind w:firstLine="214" w:firstLineChars="100"/>
              <w:textAlignment w:val="baseline"/>
              <w:rPr>
                <w:rFonts w:hint="eastAsia" w:ascii="宋体" w:hAnsi="宋体" w:eastAsia="宋体" w:cs="宋体"/>
                <w:spacing w:val="2"/>
                <w:position w:val="7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2"/>
                <w:position w:val="7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清</w:t>
            </w:r>
          </w:p>
          <w:p w14:paraId="34096A04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225" w:line="131" w:lineRule="exact"/>
              <w:ind w:left="214" w:leftChars="100" w:hanging="4" w:hangingChars="2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  <w:position w:val="7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运</w:t>
            </w:r>
            <w:r>
              <w:rPr>
                <w:rFonts w:ascii="宋体" w:hAnsi="宋体" w:eastAsia="宋体" w:cs="宋体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︵</w:t>
            </w:r>
          </w:p>
          <w:p w14:paraId="161CB7FE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" w:line="204" w:lineRule="auto"/>
              <w:ind w:firstLine="208"/>
              <w:textAlignment w:val="baseline"/>
              <w:rPr>
                <w:rFonts w:hint="eastAsia" w:ascii="Calibri" w:hAnsi="Calibri" w:eastAsia="宋体" w:cs="Calibri"/>
                <w:b/>
                <w:bCs/>
                <w:spacing w:val="-5"/>
                <w:position w:val="7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b/>
                <w:bCs/>
                <w:spacing w:val="-5"/>
                <w:position w:val="7"/>
                <w:lang w:val="en-US" w:eastAsia="zh-CN"/>
              </w:rPr>
              <w:t>30</w:t>
            </w:r>
          </w:p>
          <w:p w14:paraId="1453E57D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" w:line="204" w:lineRule="auto"/>
              <w:ind w:firstLine="208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</w:t>
            </w:r>
          </w:p>
          <w:p w14:paraId="08E8A642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279" w:lineRule="exact"/>
              <w:ind w:firstLine="210" w:firstLineChars="100"/>
              <w:textAlignment w:val="baseline"/>
              <w:rPr>
                <w:rFonts w:hint="eastAsia" w:ascii="宋体" w:hAnsi="宋体" w:eastAsia="宋体" w:cs="宋体"/>
                <w:spacing w:val="2"/>
                <w:position w:val="7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hAnsi="宋体" w:eastAsia="宋体" w:cs="宋体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︶</w:t>
            </w:r>
          </w:p>
          <w:p w14:paraId="7FD80C81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04" w:lineRule="auto"/>
              <w:ind w:firstLine="206"/>
              <w:textAlignment w:val="baseline"/>
              <w:rPr>
                <w:rFonts w:ascii="宋体" w:hAnsi="宋体" w:eastAsia="宋体" w:cs="宋体"/>
              </w:rPr>
            </w:pPr>
          </w:p>
        </w:tc>
        <w:tc>
          <w:tcPr>
            <w:tcW w:w="569" w:type="dxa"/>
            <w:vMerge w:val="restart"/>
            <w:tcBorders>
              <w:tl2br w:val="nil"/>
              <w:tr2bl w:val="nil"/>
            </w:tcBorders>
            <w:textDirection w:val="tbRlV"/>
          </w:tcPr>
          <w:p w14:paraId="18AE790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1" w:line="180" w:lineRule="auto"/>
              <w:ind w:firstLine="1063"/>
              <w:jc w:val="center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现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场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检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查</w:t>
            </w:r>
          </w:p>
        </w:tc>
        <w:tc>
          <w:tcPr>
            <w:tcW w:w="476" w:type="dxa"/>
            <w:tcBorders>
              <w:tl2br w:val="nil"/>
              <w:tr2bl w:val="nil"/>
            </w:tcBorders>
            <w:textDirection w:val="tbRlV"/>
          </w:tcPr>
          <w:p w14:paraId="3DA999F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47" w:line="180" w:lineRule="auto"/>
              <w:jc w:val="center"/>
              <w:textAlignment w:val="baseline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作业时间</w:t>
            </w:r>
          </w:p>
        </w:tc>
        <w:tc>
          <w:tcPr>
            <w:tcW w:w="8626" w:type="dxa"/>
            <w:tcBorders>
              <w:tl2br w:val="nil"/>
              <w:tr2bl w:val="nil"/>
            </w:tcBorders>
          </w:tcPr>
          <w:p w14:paraId="3276A1C2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5" w:line="312" w:lineRule="exact"/>
              <w:textAlignment w:val="baseline"/>
              <w:rPr>
                <w:rFonts w:hint="eastAsia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　</w:t>
            </w:r>
            <w:r>
              <w:rPr>
                <w:rFonts w:hint="default"/>
              </w:rPr>
              <w:t>8:30前完成垃圾收运。垃圾收集</w:t>
            </w:r>
            <w:r>
              <w:rPr>
                <w:rFonts w:hint="default"/>
                <w:lang w:val="en-US" w:eastAsia="zh-CN"/>
              </w:rPr>
              <w:t>点</w:t>
            </w:r>
            <w:r>
              <w:rPr>
                <w:rFonts w:hint="default"/>
              </w:rPr>
              <w:t>、转</w:t>
            </w:r>
            <w:r>
              <w:rPr>
                <w:rFonts w:hint="default"/>
                <w:lang w:val="en-US" w:eastAsia="zh-CN"/>
              </w:rPr>
              <w:t>运</w:t>
            </w:r>
            <w:r>
              <w:rPr>
                <w:rFonts w:hint="default"/>
              </w:rPr>
              <w:t>站</w:t>
            </w:r>
            <w:r>
              <w:rPr>
                <w:rFonts w:hint="default"/>
                <w:lang w:val="en-US" w:eastAsia="zh-CN"/>
              </w:rPr>
              <w:t>6:00</w:t>
            </w:r>
            <w:r>
              <w:rPr>
                <w:rFonts w:hint="default"/>
              </w:rPr>
              <w:t>至</w:t>
            </w:r>
            <w:r>
              <w:rPr>
                <w:rFonts w:hint="default"/>
                <w:lang w:val="en-US" w:eastAsia="zh-CN"/>
              </w:rPr>
              <w:t>19:00</w:t>
            </w:r>
            <w:r>
              <w:rPr>
                <w:rFonts w:hint="default"/>
              </w:rPr>
              <w:t>运行，即满即清；个别站点应根据垃圾量自行调整运行时间</w:t>
            </w:r>
            <w:r>
              <w:rPr>
                <w:rFonts w:hint="eastAsia"/>
                <w:lang w:eastAsia="zh-CN"/>
              </w:rPr>
              <w:t>。</w:t>
            </w:r>
          </w:p>
        </w:tc>
        <w:tc>
          <w:tcPr>
            <w:tcW w:w="4401" w:type="dxa"/>
            <w:tcBorders>
              <w:tl2br w:val="nil"/>
              <w:tr2bl w:val="nil"/>
            </w:tcBorders>
          </w:tcPr>
          <w:p w14:paraId="1E76308A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85" w:lineRule="auto"/>
              <w:textAlignment w:val="baseline"/>
            </w:pPr>
          </w:p>
          <w:p w14:paraId="7892C66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184" w:lineRule="auto"/>
              <w:ind w:firstLine="198" w:firstLineChars="100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6"/>
              </w:rPr>
              <w:t>作业时间未达到规定标准要求的，每违反一项扣</w:t>
            </w:r>
            <w:r>
              <w:rPr>
                <w:rFonts w:ascii="宋体" w:hAnsi="宋体" w:eastAsia="宋体" w:cs="宋体"/>
                <w:spacing w:val="-3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</w:rPr>
              <w:t>0.2</w:t>
            </w:r>
            <w:r>
              <w:rPr>
                <w:rFonts w:ascii="宋体" w:hAnsi="宋体" w:eastAsia="宋体" w:cs="宋体"/>
                <w:spacing w:val="-43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</w:rPr>
              <w:t>分。</w:t>
            </w:r>
          </w:p>
        </w:tc>
      </w:tr>
      <w:tr w14:paraId="31143C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6" w:hRule="atLeast"/>
        </w:trPr>
        <w:tc>
          <w:tcPr>
            <w:tcW w:w="625" w:type="dxa"/>
            <w:vMerge w:val="continue"/>
            <w:tcBorders>
              <w:tl2br w:val="nil"/>
              <w:tr2bl w:val="nil"/>
            </w:tcBorders>
          </w:tcPr>
          <w:p w14:paraId="2391D35C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04" w:lineRule="auto"/>
              <w:ind w:firstLine="206"/>
              <w:textAlignment w:val="baseline"/>
              <w:rPr>
                <w:rFonts w:ascii="宋体" w:hAnsi="宋体" w:eastAsia="宋体" w:cs="宋体"/>
              </w:rPr>
            </w:pPr>
          </w:p>
        </w:tc>
        <w:tc>
          <w:tcPr>
            <w:tcW w:w="569" w:type="dxa"/>
            <w:vMerge w:val="continue"/>
            <w:tcBorders>
              <w:tl2br w:val="nil"/>
              <w:tr2bl w:val="nil"/>
            </w:tcBorders>
            <w:textDirection w:val="tbRlV"/>
          </w:tcPr>
          <w:p w14:paraId="6CDD29D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1" w:line="180" w:lineRule="auto"/>
              <w:ind w:firstLine="1063"/>
              <w:jc w:val="center"/>
              <w:textAlignment w:val="baseline"/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6" w:type="dxa"/>
            <w:tcBorders>
              <w:tl2br w:val="nil"/>
              <w:tr2bl w:val="nil"/>
            </w:tcBorders>
            <w:textDirection w:val="tbRlV"/>
          </w:tcPr>
          <w:p w14:paraId="0D164D9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47" w:line="180" w:lineRule="auto"/>
              <w:ind w:firstLine="624" w:firstLineChars="300"/>
              <w:jc w:val="both"/>
              <w:textAlignment w:val="baseline"/>
              <w:rPr>
                <w:rFonts w:hint="eastAsia" w:ascii="宋体" w:hAnsi="宋体" w:eastAsia="宋体" w:cs="宋体"/>
                <w:color w:val="auto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垃圾桶、果皮箱</w:t>
            </w:r>
          </w:p>
          <w:p w14:paraId="78133AF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47" w:line="18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lang w:eastAsia="zh-CN"/>
              </w:rPr>
            </w:pPr>
          </w:p>
        </w:tc>
        <w:tc>
          <w:tcPr>
            <w:tcW w:w="8626" w:type="dxa"/>
            <w:tcBorders>
              <w:tl2br w:val="nil"/>
              <w:tr2bl w:val="nil"/>
            </w:tcBorders>
          </w:tcPr>
          <w:p w14:paraId="4B50EEE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210" w:firstLineChars="100"/>
              <w:textAlignment w:val="baseline"/>
              <w:rPr>
                <w:rFonts w:hint="eastAsia"/>
                <w:lang w:val="en-US" w:eastAsia="zh-CN"/>
              </w:rPr>
            </w:pPr>
          </w:p>
          <w:p w14:paraId="7ACFAD9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210" w:firstLineChars="100"/>
              <w:textAlignment w:val="baseline"/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default"/>
              </w:rPr>
              <w:t>保证垃圾桶、果皮箱日产日清，垃圾桶摆放整齐。无陈旧垃圾，无污水漫溢，周边地面整洁，无蝇、无臭。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  <w:p w14:paraId="0A1DC53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210" w:firstLineChars="100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2.果皮箱清掏：每日7：00—19：00进行作业。依据污染量确定清掏次数；每日清掏不少于2次。具体要求如下：应在废弃物达到2/3容量时及时清掏；作业后应将箱体周边地面清扫干净。</w:t>
            </w:r>
          </w:p>
          <w:p w14:paraId="0C431EC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210" w:firstLineChars="100"/>
              <w:textAlignment w:val="baseline"/>
            </w:pPr>
            <w:r>
              <w:rPr>
                <w:rFonts w:hint="eastAsia"/>
                <w:lang w:val="en-US" w:eastAsia="zh-CN"/>
              </w:rPr>
              <w:t>3.果皮箱清洗：每年4月1日至10月31日进行清洗；其它时段进行擦拭。作业频次应符合以下要求：表面清洗每周不少于1次；内胆清洗每周不少于1次；消毒每周不少于1次。作业后箱体周边地面应清洁、不湿滑。</w:t>
            </w:r>
          </w:p>
        </w:tc>
        <w:tc>
          <w:tcPr>
            <w:tcW w:w="4401" w:type="dxa"/>
            <w:tcBorders>
              <w:tl2br w:val="nil"/>
              <w:tr2bl w:val="nil"/>
            </w:tcBorders>
          </w:tcPr>
          <w:p w14:paraId="23F82B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119"/>
              <w:textAlignment w:val="baseline"/>
              <w:rPr>
                <w:rFonts w:ascii="宋体" w:hAnsi="宋体" w:eastAsia="宋体" w:cs="宋体"/>
                <w:spacing w:val="-6"/>
              </w:rPr>
            </w:pPr>
          </w:p>
          <w:p w14:paraId="20F661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119"/>
              <w:textAlignment w:val="baseline"/>
              <w:rPr>
                <w:rFonts w:ascii="宋体" w:hAnsi="宋体" w:eastAsia="宋体" w:cs="宋体"/>
                <w:spacing w:val="-6"/>
              </w:rPr>
            </w:pPr>
          </w:p>
          <w:p w14:paraId="0932AF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119"/>
              <w:textAlignment w:val="baseline"/>
              <w:rPr>
                <w:rFonts w:ascii="宋体" w:hAnsi="宋体" w:eastAsia="宋体" w:cs="宋体"/>
                <w:spacing w:val="-6"/>
              </w:rPr>
            </w:pPr>
          </w:p>
          <w:p w14:paraId="620D3A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119"/>
              <w:textAlignment w:val="baseline"/>
              <w:rPr>
                <w:rFonts w:ascii="宋体" w:hAnsi="宋体" w:eastAsia="宋体" w:cs="宋体"/>
                <w:spacing w:val="-6"/>
              </w:rPr>
            </w:pPr>
          </w:p>
          <w:p w14:paraId="3F8FD4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119"/>
              <w:textAlignment w:val="baseline"/>
              <w:rPr>
                <w:rFonts w:ascii="宋体" w:hAnsi="宋体" w:eastAsia="宋体" w:cs="宋体"/>
                <w:spacing w:val="-3"/>
              </w:rPr>
            </w:pPr>
            <w:r>
              <w:rPr>
                <w:rFonts w:ascii="宋体" w:hAnsi="宋体" w:eastAsia="宋体" w:cs="宋体"/>
                <w:spacing w:val="-6"/>
              </w:rPr>
              <w:t>作业时间</w:t>
            </w:r>
            <w:r>
              <w:rPr>
                <w:rFonts w:hint="eastAsia" w:ascii="宋体" w:hAnsi="宋体" w:eastAsia="宋体" w:cs="宋体"/>
                <w:spacing w:val="-6"/>
                <w:lang w:eastAsia="zh-CN"/>
              </w:rPr>
              <w:t>、作业</w:t>
            </w:r>
            <w:r>
              <w:rPr>
                <w:rFonts w:ascii="宋体" w:hAnsi="宋体" w:eastAsia="宋体" w:cs="宋体"/>
                <w:spacing w:val="-6"/>
              </w:rPr>
              <w:t>频次</w:t>
            </w:r>
            <w:r>
              <w:rPr>
                <w:rFonts w:hint="eastAsia" w:ascii="宋体" w:hAnsi="宋体" w:eastAsia="宋体" w:cs="宋体"/>
                <w:spacing w:val="-6"/>
                <w:lang w:eastAsia="zh-CN"/>
              </w:rPr>
              <w:t>、作业质量</w:t>
            </w:r>
            <w:r>
              <w:rPr>
                <w:rFonts w:ascii="宋体" w:hAnsi="宋体" w:eastAsia="宋体" w:cs="宋体"/>
                <w:spacing w:val="-6"/>
              </w:rPr>
              <w:t>未达到规定标准要求的，每违</w:t>
            </w:r>
            <w:r>
              <w:rPr>
                <w:rFonts w:ascii="宋体" w:hAnsi="宋体" w:eastAsia="宋体" w:cs="宋体"/>
                <w:spacing w:val="-4"/>
              </w:rPr>
              <w:t>反一项扣</w:t>
            </w:r>
            <w:r>
              <w:rPr>
                <w:rFonts w:ascii="宋体" w:hAnsi="宋体" w:eastAsia="宋体" w:cs="宋体"/>
                <w:spacing w:val="-37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</w:rPr>
              <w:t>0.</w:t>
            </w:r>
            <w:r>
              <w:rPr>
                <w:rFonts w:hint="eastAsia" w:ascii="宋体" w:hAnsi="宋体" w:eastAsia="宋体" w:cs="宋体"/>
                <w:spacing w:val="-4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spacing w:val="-4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</w:rPr>
              <w:t>分。</w:t>
            </w:r>
          </w:p>
        </w:tc>
      </w:tr>
      <w:tr w14:paraId="76B705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3" w:hRule="atLeast"/>
        </w:trPr>
        <w:tc>
          <w:tcPr>
            <w:tcW w:w="625" w:type="dxa"/>
            <w:vMerge w:val="continue"/>
            <w:tcBorders>
              <w:tl2br w:val="nil"/>
              <w:tr2bl w:val="nil"/>
            </w:tcBorders>
          </w:tcPr>
          <w:p w14:paraId="1A869DB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569" w:type="dxa"/>
            <w:vMerge w:val="restart"/>
            <w:tcBorders>
              <w:tl2br w:val="nil"/>
              <w:tr2bl w:val="nil"/>
            </w:tcBorders>
            <w:textDirection w:val="tbRlV"/>
          </w:tcPr>
          <w:p w14:paraId="56EE9AB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1" w:line="180" w:lineRule="auto"/>
              <w:ind w:left="113"/>
              <w:jc w:val="center"/>
              <w:textAlignment w:val="baseline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现场检查</w:t>
            </w:r>
          </w:p>
        </w:tc>
        <w:tc>
          <w:tcPr>
            <w:tcW w:w="476" w:type="dxa"/>
            <w:tcBorders>
              <w:tl2br w:val="nil"/>
              <w:tr2bl w:val="nil"/>
            </w:tcBorders>
            <w:textDirection w:val="tbRlV"/>
          </w:tcPr>
          <w:p w14:paraId="445238C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27" w:line="180" w:lineRule="auto"/>
              <w:jc w:val="center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default" w:ascii="宋体" w:hAnsi="宋体" w:eastAsia="宋体" w:cs="宋体"/>
                <w:color w:val="auto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运输车辆管理</w:t>
            </w:r>
          </w:p>
        </w:tc>
        <w:tc>
          <w:tcPr>
            <w:tcW w:w="8626" w:type="dxa"/>
            <w:tcBorders>
              <w:tl2br w:val="nil"/>
              <w:tr2bl w:val="nil"/>
            </w:tcBorders>
            <w:vAlign w:val="center"/>
          </w:tcPr>
          <w:p w14:paraId="35EDA5EF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right="49"/>
              <w:jc w:val="both"/>
              <w:textAlignment w:val="baseline"/>
              <w:rPr>
                <w:rFonts w:hint="default"/>
              </w:rPr>
            </w:pPr>
          </w:p>
          <w:p w14:paraId="31FCB9D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right="49" w:firstLine="210" w:firstLineChars="100"/>
              <w:jc w:val="both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1</w:t>
            </w:r>
            <w:r>
              <w:rPr>
                <w:rFonts w:hint="eastAsia" w:eastAsia="宋体"/>
                <w:lang w:val="en-US" w:eastAsia="zh-CN"/>
              </w:rPr>
              <w:t>.</w:t>
            </w:r>
            <w:r>
              <w:rPr>
                <w:rFonts w:hint="default"/>
              </w:rPr>
              <w:t>垃圾运输车辆应保持车容整洁，出车前检查车况，保持性能良好，车牌号码完整，门徽清晰。</w:t>
            </w:r>
          </w:p>
          <w:p w14:paraId="5E2CEBD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right="49" w:firstLine="210" w:firstLineChars="100"/>
              <w:jc w:val="both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2</w:t>
            </w:r>
            <w:r>
              <w:rPr>
                <w:rFonts w:hint="eastAsia" w:eastAsia="宋体"/>
                <w:lang w:val="en-US" w:eastAsia="zh-CN"/>
              </w:rPr>
              <w:t>.</w:t>
            </w:r>
            <w:r>
              <w:rPr>
                <w:rFonts w:hint="default"/>
              </w:rPr>
              <w:t>垃圾车应采取密闭方式运输，禁止超高超载，出车前须排尽污水箱中的污水，禁止沿途抛撒垃圾和滴漏污水。</w:t>
            </w:r>
          </w:p>
          <w:p w14:paraId="5291A052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right="49" w:firstLine="210" w:firstLineChars="100"/>
              <w:jc w:val="both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3.生活垃圾和建筑垃圾必须运至指定地点，不得乱倒、乱卸。</w:t>
            </w:r>
          </w:p>
          <w:p w14:paraId="4D09738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right="49" w:firstLine="210" w:firstLineChars="100"/>
              <w:jc w:val="both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4</w:t>
            </w:r>
            <w:r>
              <w:rPr>
                <w:rFonts w:hint="eastAsia" w:eastAsia="宋体"/>
                <w:lang w:val="en-US" w:eastAsia="zh-CN"/>
              </w:rPr>
              <w:t>.</w:t>
            </w:r>
            <w:r>
              <w:rPr>
                <w:rFonts w:hint="default"/>
              </w:rPr>
              <w:t>垃圾转运站离居民住宅较近时，应合理安排装运时间，避开早晨以及中午，减少噪声影响居民正常生活。运输垃圾应尽量避开上下班高峰期。</w:t>
            </w:r>
          </w:p>
          <w:p w14:paraId="62E3F635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right="49" w:firstLine="210" w:firstLineChars="100"/>
              <w:jc w:val="both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5.收车时应及时将车辆清洗干净。</w:t>
            </w:r>
          </w:p>
          <w:p w14:paraId="4966E53C">
            <w:pPr>
              <w:pStyle w:val="2"/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4401" w:type="dxa"/>
            <w:tcBorders>
              <w:tl2br w:val="nil"/>
              <w:tr2bl w:val="nil"/>
            </w:tcBorders>
            <w:vAlign w:val="center"/>
          </w:tcPr>
          <w:p w14:paraId="11081F4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184" w:lineRule="auto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3"/>
              </w:rPr>
              <w:t>未达到要求，每处扣</w:t>
            </w:r>
            <w:r>
              <w:rPr>
                <w:rFonts w:ascii="宋体" w:hAnsi="宋体" w:eastAsia="宋体" w:cs="宋体"/>
                <w:spacing w:val="-37"/>
              </w:rPr>
              <w:t xml:space="preserve"> </w:t>
            </w:r>
            <w:r>
              <w:rPr>
                <w:rFonts w:ascii="Calibri" w:hAnsi="Calibri" w:eastAsia="Calibri" w:cs="Calibri"/>
                <w:spacing w:val="-3"/>
              </w:rPr>
              <w:t>0.1</w:t>
            </w:r>
            <w:r>
              <w:rPr>
                <w:rFonts w:ascii="Calibri" w:hAnsi="Calibri" w:eastAsia="Calibri" w:cs="Calibri"/>
                <w:spacing w:val="18"/>
                <w:w w:val="101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</w:rPr>
              <w:t>分。</w:t>
            </w:r>
          </w:p>
        </w:tc>
      </w:tr>
      <w:tr w14:paraId="73AA9E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0" w:hRule="atLeast"/>
        </w:trPr>
        <w:tc>
          <w:tcPr>
            <w:tcW w:w="625" w:type="dxa"/>
            <w:vMerge w:val="continue"/>
            <w:tcBorders>
              <w:tl2br w:val="nil"/>
              <w:tr2bl w:val="nil"/>
            </w:tcBorders>
          </w:tcPr>
          <w:p w14:paraId="3EB87E24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569" w:type="dxa"/>
            <w:vMerge w:val="continue"/>
            <w:tcBorders>
              <w:tl2br w:val="nil"/>
              <w:tr2bl w:val="nil"/>
            </w:tcBorders>
            <w:textDirection w:val="tbRlV"/>
          </w:tcPr>
          <w:p w14:paraId="64CB992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476" w:type="dxa"/>
            <w:tcBorders>
              <w:tl2br w:val="nil"/>
              <w:tr2bl w:val="nil"/>
            </w:tcBorders>
            <w:textDirection w:val="tbRlV"/>
          </w:tcPr>
          <w:p w14:paraId="77AAD32A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47" w:line="180" w:lineRule="auto"/>
              <w:jc w:val="center"/>
              <w:textAlignment w:val="baseline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其他规定</w:t>
            </w:r>
          </w:p>
        </w:tc>
        <w:tc>
          <w:tcPr>
            <w:tcW w:w="8626" w:type="dxa"/>
            <w:tcBorders>
              <w:tl2br w:val="nil"/>
              <w:tr2bl w:val="nil"/>
            </w:tcBorders>
            <w:vAlign w:val="center"/>
          </w:tcPr>
          <w:p w14:paraId="13FB463C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jc w:val="both"/>
              <w:textAlignment w:val="baseline"/>
              <w:rPr>
                <w:rFonts w:hint="default"/>
              </w:rPr>
            </w:pPr>
          </w:p>
          <w:p w14:paraId="2FB1A692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10" w:firstLineChars="100"/>
              <w:jc w:val="both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1.有特大活动时，无物业及有物业小区内垃圾也要循环清运。</w:t>
            </w:r>
          </w:p>
          <w:p w14:paraId="0E1878ED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10" w:firstLineChars="100"/>
              <w:jc w:val="both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2.城区街路（非拆迁区）少量的散倒垃圾、装修垃圾和基建残土等无人清理时，要及时清运干净。</w:t>
            </w:r>
          </w:p>
          <w:p w14:paraId="2B27549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10" w:firstLineChars="100"/>
              <w:jc w:val="both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3.全体工作人员必须文明作业，文明驾驶。</w:t>
            </w:r>
          </w:p>
          <w:p w14:paraId="2CBB7D3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10" w:firstLineChars="100"/>
              <w:jc w:val="both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4.国防需要及重大灾害时，如防洪除淤、防火救灾、地震灾害等，人员与机械设备设施无偿征用。</w:t>
            </w:r>
          </w:p>
          <w:p w14:paraId="661D6B3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10" w:firstLineChars="100"/>
              <w:jc w:val="both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5.有重大检查及领导安排的特殊工作任务，无条件服从。</w:t>
            </w:r>
          </w:p>
          <w:p w14:paraId="6918DE74">
            <w:pPr>
              <w:pStyle w:val="2"/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4401" w:type="dxa"/>
            <w:tcBorders>
              <w:tl2br w:val="nil"/>
              <w:tr2bl w:val="nil"/>
            </w:tcBorders>
            <w:vAlign w:val="center"/>
          </w:tcPr>
          <w:p w14:paraId="2D8F8E72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274" w:lineRule="auto"/>
              <w:ind w:right="103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3"/>
              </w:rPr>
              <w:t>未达到要求，每处扣</w:t>
            </w:r>
            <w:r>
              <w:rPr>
                <w:rFonts w:ascii="宋体" w:hAnsi="宋体" w:eastAsia="宋体" w:cs="宋体"/>
                <w:spacing w:val="-37"/>
              </w:rPr>
              <w:t xml:space="preserve"> </w:t>
            </w:r>
            <w:r>
              <w:rPr>
                <w:rFonts w:ascii="Calibri" w:hAnsi="Calibri" w:eastAsia="Calibri" w:cs="Calibri"/>
                <w:spacing w:val="-3"/>
              </w:rPr>
              <w:t>0.1</w:t>
            </w:r>
            <w:r>
              <w:rPr>
                <w:rFonts w:ascii="Calibri" w:hAnsi="Calibri" w:eastAsia="Calibri" w:cs="Calibri"/>
                <w:spacing w:val="18"/>
                <w:w w:val="101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</w:rPr>
              <w:t>分。</w:t>
            </w:r>
          </w:p>
        </w:tc>
      </w:tr>
    </w:tbl>
    <w:p w14:paraId="36AFB3DB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textAlignment w:val="baseline"/>
        <w:sectPr>
          <w:footerReference r:id="rId6" w:type="default"/>
          <w:pgSz w:w="16838" w:h="11905" w:orient="landscape"/>
          <w:pgMar w:top="1015" w:right="1344" w:bottom="1145" w:left="879" w:header="0" w:footer="94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</w:sectPr>
      </w:pPr>
    </w:p>
    <w:p w14:paraId="469497C1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spacing w:line="67" w:lineRule="exact"/>
        <w:textAlignment w:val="baseline"/>
      </w:pPr>
    </w:p>
    <w:tbl>
      <w:tblPr>
        <w:tblStyle w:val="13"/>
        <w:tblW w:w="1419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4"/>
        <w:gridCol w:w="550"/>
        <w:gridCol w:w="460"/>
        <w:gridCol w:w="8435"/>
        <w:gridCol w:w="4149"/>
      </w:tblGrid>
      <w:tr w14:paraId="65A1A1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1" w:hRule="atLeast"/>
          <w:tblHeader/>
        </w:trPr>
        <w:tc>
          <w:tcPr>
            <w:tcW w:w="604" w:type="dxa"/>
            <w:tcBorders>
              <w:tl2br w:val="nil"/>
              <w:tr2bl w:val="nil"/>
            </w:tcBorders>
            <w:textDirection w:val="tbRlV"/>
          </w:tcPr>
          <w:p w14:paraId="5C7FCD32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98" w:line="180" w:lineRule="auto"/>
              <w:ind w:firstLine="75"/>
              <w:jc w:val="center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核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</w:t>
            </w:r>
            <w:r>
              <w:rPr>
                <w:rFonts w:ascii="宋体" w:hAnsi="宋体" w:eastAsia="宋体" w:cs="宋体"/>
                <w:spacing w:val="-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容</w:t>
            </w:r>
          </w:p>
        </w:tc>
        <w:tc>
          <w:tcPr>
            <w:tcW w:w="550" w:type="dxa"/>
            <w:tcBorders>
              <w:tl2br w:val="nil"/>
              <w:tr2bl w:val="nil"/>
            </w:tcBorders>
            <w:textDirection w:val="tbRlV"/>
          </w:tcPr>
          <w:p w14:paraId="123464CD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2" w:line="180" w:lineRule="auto"/>
              <w:ind w:firstLine="75"/>
              <w:jc w:val="center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核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方</w:t>
            </w:r>
            <w:r>
              <w:rPr>
                <w:rFonts w:ascii="宋体" w:hAnsi="宋体" w:eastAsia="宋体" w:cs="宋体"/>
                <w:spacing w:val="-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式</w:t>
            </w:r>
          </w:p>
        </w:tc>
        <w:tc>
          <w:tcPr>
            <w:tcW w:w="460" w:type="dxa"/>
            <w:tcBorders>
              <w:tl2br w:val="nil"/>
              <w:tr2bl w:val="nil"/>
            </w:tcBorders>
            <w:textDirection w:val="tbRlV"/>
          </w:tcPr>
          <w:p w14:paraId="76012B2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28" w:line="180" w:lineRule="auto"/>
              <w:ind w:firstLine="387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别</w:t>
            </w:r>
          </w:p>
        </w:tc>
        <w:tc>
          <w:tcPr>
            <w:tcW w:w="8435" w:type="dxa"/>
            <w:tcBorders>
              <w:tl2br w:val="nil"/>
              <w:tr2bl w:val="nil"/>
            </w:tcBorders>
          </w:tcPr>
          <w:p w14:paraId="56C385C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471" w:lineRule="auto"/>
              <w:textAlignment w:val="baseline"/>
            </w:pPr>
          </w:p>
          <w:p w14:paraId="1A893AD2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184" w:lineRule="auto"/>
              <w:ind w:firstLine="3419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作业服务质量标准</w:t>
            </w:r>
          </w:p>
        </w:tc>
        <w:tc>
          <w:tcPr>
            <w:tcW w:w="4149" w:type="dxa"/>
            <w:tcBorders>
              <w:tl2br w:val="nil"/>
              <w:tr2bl w:val="nil"/>
            </w:tcBorders>
          </w:tcPr>
          <w:p w14:paraId="4DCF6265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471" w:lineRule="auto"/>
              <w:textAlignment w:val="baseline"/>
            </w:pPr>
          </w:p>
          <w:p w14:paraId="40449184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184" w:lineRule="auto"/>
              <w:ind w:firstLine="1675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评分标准</w:t>
            </w:r>
          </w:p>
        </w:tc>
      </w:tr>
      <w:tr w14:paraId="388104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2" w:hRule="atLeast"/>
          <w:tblHeader/>
        </w:trPr>
        <w:tc>
          <w:tcPr>
            <w:tcW w:w="604" w:type="dxa"/>
            <w:vMerge w:val="restart"/>
            <w:tcBorders>
              <w:tl2br w:val="nil"/>
              <w:tr2bl w:val="nil"/>
            </w:tcBorders>
          </w:tcPr>
          <w:p w14:paraId="37695F0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1" w:line="180" w:lineRule="auto"/>
              <w:ind w:left="113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14:paraId="3654291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1" w:line="180" w:lineRule="auto"/>
              <w:ind w:left="113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14:paraId="5FCA562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1" w:line="180" w:lineRule="auto"/>
              <w:ind w:left="113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14:paraId="13DA80C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1" w:line="180" w:lineRule="auto"/>
              <w:ind w:left="113"/>
              <w:jc w:val="center"/>
              <w:textAlignment w:val="baseline"/>
              <w:rPr>
                <w:rFonts w:hint="default" w:ascii="宋体" w:hAnsi="宋体" w:eastAsia="宋体" w:cs="宋体"/>
                <w:spacing w:val="-1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  </w:t>
            </w:r>
          </w:p>
          <w:p w14:paraId="7B949F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</w:t>
            </w:r>
          </w:p>
          <w:p w14:paraId="5C591D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</w:t>
            </w:r>
          </w:p>
          <w:p w14:paraId="7239EE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共</w:t>
            </w:r>
          </w:p>
          <w:p w14:paraId="16048B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厕</w:t>
            </w:r>
          </w:p>
          <w:p w14:paraId="1118FF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所</w:t>
            </w:r>
          </w:p>
          <w:p w14:paraId="4CED4D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管</w:t>
            </w:r>
          </w:p>
          <w:p w14:paraId="5BA7D3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</w:t>
            </w:r>
          </w:p>
          <w:p w14:paraId="6827B8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︵</w:t>
            </w:r>
          </w:p>
          <w:p w14:paraId="696697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</w:t>
            </w:r>
          </w:p>
          <w:p w14:paraId="5D181F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</w:t>
            </w:r>
          </w:p>
          <w:p w14:paraId="070846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︶</w:t>
            </w:r>
          </w:p>
        </w:tc>
        <w:tc>
          <w:tcPr>
            <w:tcW w:w="550" w:type="dxa"/>
            <w:vMerge w:val="restart"/>
            <w:tcBorders>
              <w:tl2br w:val="nil"/>
              <w:tr2bl w:val="nil"/>
            </w:tcBorders>
            <w:textDirection w:val="tbRlV"/>
          </w:tcPr>
          <w:p w14:paraId="41AE03D1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2" w:line="180" w:lineRule="auto"/>
              <w:ind w:firstLine="1456" w:firstLineChars="700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现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场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检</w:t>
            </w:r>
            <w:r>
              <w:rPr>
                <w:rFonts w:ascii="宋体" w:hAnsi="宋体" w:eastAsia="宋体" w:cs="宋体"/>
                <w:spacing w:val="-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查</w:t>
            </w:r>
          </w:p>
        </w:tc>
        <w:tc>
          <w:tcPr>
            <w:tcW w:w="460" w:type="dxa"/>
            <w:tcBorders>
              <w:tl2br w:val="nil"/>
              <w:tr2bl w:val="nil"/>
            </w:tcBorders>
            <w:textDirection w:val="tbRlV"/>
          </w:tcPr>
          <w:p w14:paraId="3817BCDF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48" w:line="180" w:lineRule="auto"/>
              <w:ind w:firstLine="52"/>
              <w:jc w:val="center"/>
              <w:textAlignment w:val="baseline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作业时间</w:t>
            </w:r>
          </w:p>
        </w:tc>
        <w:tc>
          <w:tcPr>
            <w:tcW w:w="8435" w:type="dxa"/>
            <w:tcBorders>
              <w:tl2br w:val="nil"/>
              <w:tr2bl w:val="nil"/>
            </w:tcBorders>
          </w:tcPr>
          <w:p w14:paraId="3394055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87" w:line="233" w:lineRule="auto"/>
              <w:ind w:firstLine="111"/>
              <w:textAlignment w:val="baseline"/>
              <w:rPr>
                <w:rFonts w:ascii="宋体" w:hAnsi="宋体" w:eastAsia="宋体" w:cs="宋体"/>
                <w:spacing w:val="-10"/>
              </w:rPr>
            </w:pPr>
            <w:r>
              <w:rPr>
                <w:rFonts w:hint="eastAsia" w:ascii="宋体" w:hAnsi="宋体" w:eastAsia="宋体" w:cs="宋体"/>
                <w:spacing w:val="-10"/>
              </w:rPr>
              <w:t>移动式水冲公厕：</w:t>
            </w:r>
            <w:r>
              <w:rPr>
                <w:rFonts w:ascii="宋体" w:hAnsi="宋体" w:eastAsia="宋体" w:cs="宋体"/>
                <w:spacing w:val="-10"/>
              </w:rPr>
              <w:t>夏季开放时间：</w:t>
            </w:r>
            <w:r>
              <w:rPr>
                <w:rFonts w:ascii="Calibri" w:hAnsi="Calibri" w:eastAsia="Calibri" w:cs="Calibri"/>
                <w:spacing w:val="-10"/>
              </w:rPr>
              <w:t>6</w:t>
            </w:r>
            <w:r>
              <w:rPr>
                <w:rFonts w:hint="eastAsia" w:ascii="Calibri" w:hAnsi="Calibri" w:eastAsia="宋体" w:cs="Calibri"/>
                <w:spacing w:val="-10"/>
                <w:lang w:eastAsia="zh-CN"/>
              </w:rPr>
              <w:t>：</w:t>
            </w:r>
            <w:r>
              <w:rPr>
                <w:rFonts w:hint="eastAsia" w:ascii="Calibri" w:hAnsi="Calibri" w:eastAsia="宋体" w:cs="Calibri"/>
                <w:spacing w:val="-10"/>
              </w:rPr>
              <w:t>00</w:t>
            </w:r>
            <w:r>
              <w:rPr>
                <w:rFonts w:ascii="Calibri" w:hAnsi="Calibri" w:eastAsia="Calibri" w:cs="Calibri"/>
                <w:spacing w:val="-10"/>
              </w:rPr>
              <w:t>--22</w:t>
            </w:r>
            <w:r>
              <w:rPr>
                <w:rFonts w:hint="eastAsia" w:ascii="Calibri" w:hAnsi="Calibri" w:eastAsia="宋体" w:cs="Calibri"/>
                <w:spacing w:val="-10"/>
                <w:lang w:eastAsia="zh-CN"/>
              </w:rPr>
              <w:t>：</w:t>
            </w:r>
            <w:r>
              <w:rPr>
                <w:rFonts w:ascii="Calibri" w:hAnsi="Calibri" w:eastAsia="Calibri" w:cs="Calibri"/>
                <w:spacing w:val="-10"/>
              </w:rPr>
              <w:t>00</w:t>
            </w:r>
            <w:r>
              <w:rPr>
                <w:rFonts w:ascii="Calibri" w:hAnsi="Calibri" w:eastAsia="Calibri" w:cs="Calibri"/>
                <w:spacing w:val="-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</w:rPr>
              <w:t>，冬季开放时间：</w:t>
            </w:r>
            <w:r>
              <w:rPr>
                <w:rFonts w:hint="eastAsia" w:ascii="Calibri" w:hAnsi="Calibri" w:eastAsia="宋体" w:cs="Calibri"/>
                <w:spacing w:val="-10"/>
              </w:rPr>
              <w:t>7</w:t>
            </w:r>
            <w:r>
              <w:rPr>
                <w:rFonts w:hint="eastAsia" w:ascii="Calibri" w:hAnsi="Calibri" w:eastAsia="宋体" w:cs="Calibri"/>
                <w:spacing w:val="-10"/>
                <w:lang w:eastAsia="zh-CN"/>
              </w:rPr>
              <w:t>：</w:t>
            </w:r>
            <w:r>
              <w:rPr>
                <w:rFonts w:hint="eastAsia" w:ascii="Calibri" w:hAnsi="Calibri" w:eastAsia="宋体" w:cs="Calibri"/>
                <w:spacing w:val="-10"/>
              </w:rPr>
              <w:t>00</w:t>
            </w:r>
            <w:r>
              <w:rPr>
                <w:rFonts w:ascii="Calibri" w:hAnsi="Calibri" w:eastAsia="Calibri" w:cs="Calibri"/>
                <w:spacing w:val="-10"/>
              </w:rPr>
              <w:t>--21</w:t>
            </w:r>
            <w:r>
              <w:rPr>
                <w:rFonts w:hint="eastAsia" w:ascii="Calibri" w:hAnsi="Calibri" w:eastAsia="宋体" w:cs="Calibri"/>
                <w:spacing w:val="-10"/>
                <w:lang w:eastAsia="zh-CN"/>
              </w:rPr>
              <w:t>：</w:t>
            </w:r>
            <w:r>
              <w:rPr>
                <w:rFonts w:hint="eastAsia" w:ascii="Calibri" w:hAnsi="Calibri" w:eastAsia="宋体" w:cs="Calibri"/>
                <w:spacing w:val="-10"/>
              </w:rPr>
              <w:t>00</w:t>
            </w:r>
            <w:r>
              <w:rPr>
                <w:rFonts w:ascii="宋体" w:hAnsi="宋体" w:eastAsia="宋体" w:cs="宋体"/>
                <w:spacing w:val="-10"/>
              </w:rPr>
              <w:t>。</w:t>
            </w:r>
          </w:p>
          <w:p w14:paraId="78ED5CC4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87" w:line="233" w:lineRule="auto"/>
              <w:ind w:firstLine="111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0"/>
              </w:rPr>
              <w:t>固定式水冲公厕实行24小时开放。</w:t>
            </w:r>
          </w:p>
        </w:tc>
        <w:tc>
          <w:tcPr>
            <w:tcW w:w="4149" w:type="dxa"/>
            <w:tcBorders>
              <w:tl2br w:val="nil"/>
              <w:tr2bl w:val="nil"/>
            </w:tcBorders>
            <w:vAlign w:val="center"/>
          </w:tcPr>
          <w:p w14:paraId="4169A73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52" w:line="229" w:lineRule="auto"/>
              <w:ind w:left="113" w:right="108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>开放时间未达到规定标准要求的，每有一座</w:t>
            </w:r>
            <w:r>
              <w:rPr>
                <w:rFonts w:ascii="宋体" w:hAnsi="宋体" w:eastAsia="宋体" w:cs="宋体"/>
                <w:spacing w:val="3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</w:rPr>
              <w:t>违反，扣</w:t>
            </w:r>
            <w:r>
              <w:rPr>
                <w:rFonts w:ascii="宋体" w:hAnsi="宋体" w:eastAsia="宋体" w:cs="宋体"/>
                <w:spacing w:val="-38"/>
              </w:rPr>
              <w:t xml:space="preserve"> </w:t>
            </w:r>
            <w:r>
              <w:rPr>
                <w:rFonts w:ascii="Calibri" w:hAnsi="Calibri" w:eastAsia="Calibri" w:cs="Calibri"/>
                <w:spacing w:val="-4"/>
              </w:rPr>
              <w:t>0.1</w:t>
            </w:r>
            <w:r>
              <w:rPr>
                <w:rFonts w:ascii="Calibri" w:hAnsi="Calibri" w:eastAsia="Calibri" w:cs="Calibri"/>
                <w:spacing w:val="18"/>
                <w:w w:val="101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</w:rPr>
              <w:t>分。</w:t>
            </w:r>
          </w:p>
        </w:tc>
      </w:tr>
      <w:tr w14:paraId="300EA5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3" w:hRule="atLeast"/>
          <w:tblHeader/>
        </w:trPr>
        <w:tc>
          <w:tcPr>
            <w:tcW w:w="604" w:type="dxa"/>
            <w:vMerge w:val="continue"/>
            <w:tcBorders>
              <w:tl2br w:val="nil"/>
              <w:tr2bl w:val="nil"/>
            </w:tcBorders>
          </w:tcPr>
          <w:p w14:paraId="7519277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1" w:line="180" w:lineRule="auto"/>
              <w:ind w:left="113"/>
              <w:jc w:val="center"/>
              <w:textAlignment w:val="baseline"/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550" w:type="dxa"/>
            <w:vMerge w:val="continue"/>
            <w:tcBorders>
              <w:tl2br w:val="nil"/>
              <w:tr2bl w:val="nil"/>
            </w:tcBorders>
            <w:textDirection w:val="tbRlV"/>
          </w:tcPr>
          <w:p w14:paraId="408DF31D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460" w:type="dxa"/>
            <w:tcBorders>
              <w:tl2br w:val="nil"/>
              <w:tr2bl w:val="nil"/>
            </w:tcBorders>
          </w:tcPr>
          <w:p w14:paraId="53F2AC0E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80" w:line="312" w:lineRule="exact"/>
              <w:textAlignment w:val="baseline"/>
              <w:rPr>
                <w:rFonts w:hint="eastAsia" w:ascii="宋体" w:hAnsi="宋体" w:eastAsia="宋体" w:cs="宋体"/>
                <w:position w:val="6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position w:val="6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</w:p>
          <w:p w14:paraId="7BF1B227">
            <w:pPr>
              <w:pStyle w:val="5"/>
              <w:jc w:val="both"/>
              <w:rPr>
                <w:rFonts w:hint="eastAsia"/>
                <w:lang w:val="en-US" w:eastAsia="zh-CN"/>
              </w:rPr>
            </w:pPr>
          </w:p>
          <w:p w14:paraId="74F94295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80" w:line="312" w:lineRule="exact"/>
              <w:ind w:firstLine="113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position w:val="6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水</w:t>
            </w:r>
          </w:p>
          <w:p w14:paraId="74D1C04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04" w:lineRule="auto"/>
              <w:ind w:firstLine="111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冲</w:t>
            </w:r>
          </w:p>
          <w:p w14:paraId="3D40121F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79" w:line="184" w:lineRule="auto"/>
              <w:ind w:firstLine="117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</w:t>
            </w:r>
          </w:p>
          <w:p w14:paraId="51D32981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3" w:line="184" w:lineRule="auto"/>
              <w:ind w:firstLine="111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厕</w:t>
            </w:r>
          </w:p>
        </w:tc>
        <w:tc>
          <w:tcPr>
            <w:tcW w:w="8435" w:type="dxa"/>
            <w:tcBorders>
              <w:tl2br w:val="nil"/>
              <w:tr2bl w:val="nil"/>
            </w:tcBorders>
          </w:tcPr>
          <w:p w14:paraId="6809C24F">
            <w:pPr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  <w:rPr>
                <w:rFonts w:hint="eastAsia"/>
                <w:lang w:val="en-US" w:eastAsia="zh-CN"/>
              </w:rPr>
            </w:pPr>
          </w:p>
          <w:p w14:paraId="5A2A8380">
            <w:pPr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  <w:rPr>
                <w:rFonts w:hint="eastAsia"/>
                <w:lang w:val="en-US" w:eastAsia="zh-CN"/>
              </w:rPr>
            </w:pPr>
          </w:p>
          <w:p w14:paraId="298D73C4">
            <w:pPr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bidi w:val="0"/>
              <w:adjustRightInd w:val="0"/>
              <w:snapToGrid w:val="0"/>
              <w:ind w:firstLine="210" w:firstLineChars="100"/>
              <w:textAlignment w:val="baseline"/>
            </w:pPr>
            <w:r>
              <w:rPr>
                <w:rFonts w:hint="eastAsia"/>
                <w:lang w:val="en-US" w:eastAsia="zh-CN"/>
              </w:rPr>
              <w:t>1.</w:t>
            </w:r>
            <w:r>
              <w:t xml:space="preserve">公厕内照明、通风良好，无异味； 各类设施完好，如有损坏及时维修或更换； </w:t>
            </w:r>
          </w:p>
          <w:p w14:paraId="566C10E2">
            <w:pPr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bidi w:val="0"/>
              <w:adjustRightInd w:val="0"/>
              <w:snapToGrid w:val="0"/>
              <w:ind w:firstLine="210" w:firstLineChars="100"/>
              <w:textAlignment w:val="baseline"/>
            </w:pPr>
            <w:r>
              <w:t>2.墙面和隔板光洁，天花板、门窗无灰尘、污垢、乱贴乱画；</w:t>
            </w:r>
          </w:p>
          <w:p w14:paraId="36AACFF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10" w:firstLineChars="100"/>
              <w:textAlignment w:val="baseline"/>
            </w:pPr>
            <w:r>
              <w:t>3.地面干净见本色，无污物、无积水；</w:t>
            </w:r>
          </w:p>
          <w:p w14:paraId="180E695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10" w:firstLineChars="100"/>
              <w:textAlignment w:val="baseline"/>
            </w:pPr>
            <w:r>
              <w:rPr>
                <w:rFonts w:hint="eastAsia"/>
              </w:rPr>
              <w:t>4.</w:t>
            </w:r>
            <w:r>
              <w:t>蹲位洁净卫生，大便器内无粪便污物积存，小便器内无水锈、尿垢，废纸篓内垃圾不得出现满溢，定时清理；</w:t>
            </w:r>
          </w:p>
          <w:p w14:paraId="2A51687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10" w:firstLineChars="100"/>
              <w:textAlignment w:val="baseline"/>
            </w:pPr>
            <w:r>
              <w:t>5.管理间门窗明净，物品摆放有序，不得出现无关物品，工具间整洁干净，工具摆放整齐有序；</w:t>
            </w:r>
          </w:p>
          <w:p w14:paraId="46ED506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10" w:firstLineChars="100"/>
              <w:textAlignment w:val="baseline"/>
            </w:pPr>
            <w:r>
              <w:rPr>
                <w:rFonts w:hint="eastAsia"/>
              </w:rPr>
              <w:t>6.</w:t>
            </w:r>
            <w:r>
              <w:t xml:space="preserve">公厕四周环境整洁干净，无乱堆乱放，无垃圾、污水等；                       </w:t>
            </w:r>
          </w:p>
          <w:p w14:paraId="616183F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10" w:firstLineChars="100"/>
              <w:textAlignment w:val="baseline"/>
            </w:pPr>
            <w:r>
              <w:t xml:space="preserve">7.夏季定时喷洒灭蚊蝇药物，做到无蝇、无蛆、无蚊，定时消杀并做好记录；             </w:t>
            </w:r>
          </w:p>
          <w:p w14:paraId="7B7EDA8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10" w:firstLineChars="100"/>
              <w:textAlignment w:val="baseline"/>
            </w:pPr>
            <w:r>
              <w:t>8.化粪池定期清掏，保持管道通畅，作业时保持场地清洁卫生，无遗撒粪便，作业结束后，应盖严粪口，并及时清洗场地。</w:t>
            </w:r>
          </w:p>
        </w:tc>
        <w:tc>
          <w:tcPr>
            <w:tcW w:w="4149" w:type="dxa"/>
            <w:tcBorders>
              <w:tl2br w:val="nil"/>
              <w:tr2bl w:val="nil"/>
            </w:tcBorders>
          </w:tcPr>
          <w:p w14:paraId="5A6B04E2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73" w:lineRule="auto"/>
              <w:textAlignment w:val="baseline"/>
            </w:pPr>
          </w:p>
          <w:p w14:paraId="3A2CF4C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73" w:lineRule="auto"/>
              <w:textAlignment w:val="baseline"/>
            </w:pPr>
          </w:p>
          <w:p w14:paraId="2B57E88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73" w:lineRule="auto"/>
              <w:textAlignment w:val="baseline"/>
            </w:pPr>
          </w:p>
          <w:p w14:paraId="1D75B23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73" w:lineRule="auto"/>
              <w:textAlignment w:val="baseline"/>
            </w:pPr>
          </w:p>
          <w:p w14:paraId="370B7302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73" w:lineRule="auto"/>
              <w:textAlignment w:val="baseline"/>
            </w:pPr>
          </w:p>
          <w:p w14:paraId="032E90D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74" w:lineRule="auto"/>
              <w:textAlignment w:val="baseline"/>
            </w:pPr>
          </w:p>
          <w:p w14:paraId="0A8BE1C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74" w:lineRule="auto"/>
              <w:textAlignment w:val="baseline"/>
            </w:pPr>
          </w:p>
          <w:p w14:paraId="7801E801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184" w:lineRule="auto"/>
              <w:ind w:firstLine="117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3"/>
              </w:rPr>
              <w:t>未达到要求，每项每处扣</w:t>
            </w:r>
            <w:r>
              <w:rPr>
                <w:rFonts w:ascii="宋体" w:hAnsi="宋体" w:eastAsia="宋体" w:cs="宋体"/>
                <w:spacing w:val="-28"/>
              </w:rPr>
              <w:t xml:space="preserve"> </w:t>
            </w:r>
            <w:r>
              <w:rPr>
                <w:rFonts w:ascii="Calibri" w:hAnsi="Calibri" w:eastAsia="Calibri" w:cs="Calibri"/>
                <w:spacing w:val="-3"/>
              </w:rPr>
              <w:t>0.1</w:t>
            </w:r>
            <w:r>
              <w:rPr>
                <w:rFonts w:ascii="宋体" w:hAnsi="宋体" w:eastAsia="宋体" w:cs="宋体"/>
                <w:spacing w:val="-3"/>
              </w:rPr>
              <w:t>分。</w:t>
            </w:r>
          </w:p>
        </w:tc>
      </w:tr>
      <w:tr w14:paraId="4345C3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1" w:hRule="atLeast"/>
          <w:tblHeader/>
        </w:trPr>
        <w:tc>
          <w:tcPr>
            <w:tcW w:w="604" w:type="dxa"/>
            <w:tcBorders>
              <w:tl2br w:val="nil"/>
              <w:tr2bl w:val="nil"/>
            </w:tcBorders>
            <w:vAlign w:val="top"/>
          </w:tcPr>
          <w:p w14:paraId="6FD8A7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14:paraId="229347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14:paraId="6C9617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</w:t>
            </w:r>
          </w:p>
          <w:p w14:paraId="0E2075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冬</w:t>
            </w:r>
          </w:p>
          <w:p w14:paraId="7B7BCD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季</w:t>
            </w:r>
          </w:p>
          <w:p w14:paraId="32746B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除</w:t>
            </w:r>
          </w:p>
          <w:p w14:paraId="4844F8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雪</w:t>
            </w:r>
          </w:p>
          <w:p w14:paraId="612B4F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︵</w:t>
            </w:r>
          </w:p>
          <w:p w14:paraId="64B683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</w:p>
          <w:p w14:paraId="1F79C4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</w:t>
            </w:r>
          </w:p>
          <w:p w14:paraId="33C45B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︶</w:t>
            </w:r>
          </w:p>
        </w:tc>
        <w:tc>
          <w:tcPr>
            <w:tcW w:w="550" w:type="dxa"/>
            <w:tcBorders>
              <w:tl2br w:val="nil"/>
              <w:tr2bl w:val="nil"/>
            </w:tcBorders>
            <w:textDirection w:val="tbRlV"/>
            <w:vAlign w:val="top"/>
          </w:tcPr>
          <w:p w14:paraId="11C3CCAD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2" w:line="180" w:lineRule="auto"/>
              <w:ind w:firstLine="1040" w:firstLineChars="500"/>
              <w:textAlignment w:val="baseline"/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现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场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检</w:t>
            </w:r>
            <w:r>
              <w:rPr>
                <w:rFonts w:ascii="宋体" w:hAnsi="宋体" w:eastAsia="宋体" w:cs="宋体"/>
                <w:spacing w:val="-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查</w:t>
            </w:r>
          </w:p>
        </w:tc>
        <w:tc>
          <w:tcPr>
            <w:tcW w:w="460" w:type="dxa"/>
            <w:tcBorders>
              <w:tl2br w:val="nil"/>
              <w:tr2bl w:val="nil"/>
            </w:tcBorders>
            <w:textDirection w:val="tbRlV"/>
          </w:tcPr>
          <w:p w14:paraId="6E8E5865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28" w:line="180" w:lineRule="auto"/>
              <w:ind w:firstLine="1040" w:firstLineChars="500"/>
              <w:textAlignment w:val="baseline"/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作</w:t>
            </w:r>
            <w:r>
              <w:rPr>
                <w:rFonts w:hint="eastAsia" w:ascii="宋体" w:hAnsi="宋体" w:eastAsia="宋体" w:cs="宋体"/>
                <w:spacing w:val="-1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业</w:t>
            </w:r>
            <w:r>
              <w:rPr>
                <w:rFonts w:hint="eastAsia" w:ascii="宋体" w:hAnsi="宋体" w:eastAsia="宋体" w:cs="宋体"/>
                <w:spacing w:val="-1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规</w:t>
            </w:r>
            <w:r>
              <w:rPr>
                <w:rFonts w:hint="eastAsia" w:ascii="宋体" w:hAnsi="宋体" w:eastAsia="宋体" w:cs="宋体"/>
                <w:spacing w:val="-1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范</w:t>
            </w:r>
          </w:p>
        </w:tc>
        <w:tc>
          <w:tcPr>
            <w:tcW w:w="8435" w:type="dxa"/>
            <w:tcBorders>
              <w:tl2br w:val="nil"/>
              <w:tr2bl w:val="nil"/>
            </w:tcBorders>
          </w:tcPr>
          <w:p w14:paraId="0426844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2" w:line="184" w:lineRule="auto"/>
              <w:jc w:val="both"/>
              <w:textAlignment w:val="baseline"/>
              <w:rPr>
                <w:rFonts w:hint="eastAsia"/>
                <w:color w:val="auto"/>
              </w:rPr>
            </w:pPr>
          </w:p>
          <w:p w14:paraId="7C4F6C8D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2" w:line="184" w:lineRule="auto"/>
              <w:jc w:val="both"/>
              <w:textAlignment w:val="baseline"/>
              <w:rPr>
                <w:rFonts w:hint="eastAsia"/>
                <w:color w:val="auto"/>
              </w:rPr>
            </w:pPr>
          </w:p>
          <w:p w14:paraId="2D05FE6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2" w:line="184" w:lineRule="auto"/>
              <w:jc w:val="both"/>
              <w:textAlignment w:val="baseline"/>
              <w:rPr>
                <w:rFonts w:hint="eastAsia"/>
                <w:color w:val="auto"/>
              </w:rPr>
            </w:pPr>
          </w:p>
          <w:p w14:paraId="43BE61B2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2" w:line="184" w:lineRule="auto"/>
              <w:ind w:firstLine="210" w:firstLineChars="100"/>
              <w:jc w:val="both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>1.严格按照除雪作业标准，及时除雪，及时恢复通行条件；</w:t>
            </w:r>
          </w:p>
          <w:p w14:paraId="3B7A97C4">
            <w:pPr>
              <w:pStyle w:val="2"/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10" w:firstLineChars="100"/>
              <w:jc w:val="both"/>
              <w:textAlignment w:val="baseline"/>
              <w:rPr>
                <w:rFonts w:ascii="Arial" w:hAnsi="Arial" w:eastAsia="Arial" w:cs="Arial"/>
                <w:color w:val="auto"/>
                <w:sz w:val="21"/>
                <w:szCs w:val="21"/>
              </w:rPr>
            </w:pPr>
            <w:r>
              <w:rPr>
                <w:rFonts w:hint="eastAsia" w:ascii="Arial" w:hAnsi="Arial" w:eastAsia="Arial" w:cs="Arial"/>
                <w:color w:val="auto"/>
                <w:sz w:val="21"/>
                <w:szCs w:val="21"/>
              </w:rPr>
              <w:t>2.</w:t>
            </w:r>
            <w:r>
              <w:rPr>
                <w:rFonts w:ascii="Arial" w:hAnsi="Arial" w:eastAsia="Arial" w:cs="Arial"/>
                <w:color w:val="auto"/>
                <w:sz w:val="21"/>
                <w:szCs w:val="21"/>
              </w:rPr>
              <w:t>严禁将积雪抛洒至行车道，严禁将含有融雪剂的冰雪堆放至绿带和树坑内</w:t>
            </w:r>
            <w:r>
              <w:rPr>
                <w:rFonts w:hint="eastAsia" w:ascii="Arial" w:hAnsi="Arial" w:eastAsia="Arial" w:cs="Arial"/>
                <w:color w:val="auto"/>
                <w:sz w:val="21"/>
                <w:szCs w:val="21"/>
              </w:rPr>
              <w:t>；</w:t>
            </w:r>
          </w:p>
          <w:p w14:paraId="6ACD9B8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10" w:firstLineChars="100"/>
              <w:textAlignment w:val="baseline"/>
              <w:rPr>
                <w:rFonts w:ascii="Calibri" w:hAnsi="Calibri" w:eastAsia="Calibri" w:cs="Calibri"/>
              </w:rPr>
            </w:pPr>
            <w:r>
              <w:rPr>
                <w:rFonts w:hint="eastAsia" w:ascii="Arial" w:hAnsi="Arial" w:eastAsia="Arial" w:cs="Arial"/>
                <w:color w:val="auto"/>
                <w:sz w:val="21"/>
                <w:szCs w:val="21"/>
              </w:rPr>
              <w:t>3.</w:t>
            </w:r>
            <w:r>
              <w:rPr>
                <w:rFonts w:ascii="Arial" w:hAnsi="Arial" w:eastAsia="Arial" w:cs="Arial"/>
                <w:color w:val="auto"/>
                <w:sz w:val="21"/>
                <w:szCs w:val="21"/>
              </w:rPr>
              <w:t>对出现道路结冰的，组织专业除冰车或人员进行除冰，雪后一周内所有余冰清理完毕</w:t>
            </w:r>
            <w:r>
              <w:rPr>
                <w:rFonts w:hint="eastAsia" w:ascii="Arial" w:hAnsi="Arial" w:eastAsia="宋体" w:cs="Arial"/>
                <w:color w:val="auto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4149" w:type="dxa"/>
            <w:tcBorders>
              <w:tl2br w:val="nil"/>
              <w:tr2bl w:val="nil"/>
            </w:tcBorders>
          </w:tcPr>
          <w:p w14:paraId="1B30E2B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184" w:lineRule="auto"/>
              <w:ind w:firstLine="117"/>
              <w:textAlignment w:val="baseline"/>
              <w:rPr>
                <w:rFonts w:ascii="宋体" w:hAnsi="宋体" w:eastAsia="宋体" w:cs="宋体"/>
                <w:spacing w:val="-6"/>
              </w:rPr>
            </w:pPr>
          </w:p>
          <w:p w14:paraId="33DC1DE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184" w:lineRule="auto"/>
              <w:ind w:firstLine="117"/>
              <w:textAlignment w:val="baseline"/>
              <w:rPr>
                <w:rFonts w:ascii="宋体" w:hAnsi="宋体" w:eastAsia="宋体" w:cs="宋体"/>
                <w:spacing w:val="-6"/>
              </w:rPr>
            </w:pPr>
          </w:p>
          <w:p w14:paraId="1287C324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184" w:lineRule="auto"/>
              <w:ind w:firstLine="117"/>
              <w:textAlignment w:val="baseline"/>
              <w:rPr>
                <w:rFonts w:ascii="宋体" w:hAnsi="宋体" w:eastAsia="宋体" w:cs="宋体"/>
                <w:spacing w:val="-6"/>
              </w:rPr>
            </w:pPr>
          </w:p>
          <w:p w14:paraId="0BEDF2A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184" w:lineRule="auto"/>
              <w:ind w:firstLine="117"/>
              <w:textAlignment w:val="baseline"/>
              <w:rPr>
                <w:rFonts w:ascii="宋体" w:hAnsi="宋体" w:eastAsia="宋体" w:cs="宋体"/>
                <w:spacing w:val="-6"/>
              </w:rPr>
            </w:pPr>
          </w:p>
          <w:p w14:paraId="4F5CCDF2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184" w:lineRule="auto"/>
              <w:ind w:firstLine="117"/>
              <w:textAlignment w:val="baseline"/>
              <w:rPr>
                <w:rFonts w:ascii="宋体" w:hAnsi="宋体" w:eastAsia="宋体" w:cs="宋体"/>
                <w:spacing w:val="-3"/>
              </w:rPr>
            </w:pPr>
            <w:r>
              <w:rPr>
                <w:rFonts w:ascii="宋体" w:hAnsi="宋体" w:eastAsia="宋体" w:cs="宋体"/>
                <w:spacing w:val="-6"/>
              </w:rPr>
              <w:t>作业时间</w:t>
            </w:r>
            <w:r>
              <w:rPr>
                <w:rFonts w:hint="eastAsia" w:ascii="宋体" w:hAnsi="宋体" w:eastAsia="宋体" w:cs="宋体"/>
                <w:spacing w:val="-6"/>
                <w:lang w:eastAsia="zh-CN"/>
              </w:rPr>
              <w:t>、作业质量</w:t>
            </w:r>
            <w:r>
              <w:rPr>
                <w:rFonts w:ascii="宋体" w:hAnsi="宋体" w:eastAsia="宋体" w:cs="宋体"/>
                <w:spacing w:val="-6"/>
              </w:rPr>
              <w:t>未达到规定标准要求的，每违</w:t>
            </w:r>
            <w:r>
              <w:rPr>
                <w:rFonts w:ascii="宋体" w:hAnsi="宋体" w:eastAsia="宋体" w:cs="宋体"/>
                <w:spacing w:val="-4"/>
              </w:rPr>
              <w:t>反一项扣</w:t>
            </w:r>
            <w:r>
              <w:rPr>
                <w:rFonts w:ascii="宋体" w:hAnsi="宋体" w:eastAsia="宋体" w:cs="宋体"/>
                <w:spacing w:val="-37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</w:rPr>
              <w:t>0.</w:t>
            </w:r>
            <w:r>
              <w:rPr>
                <w:rFonts w:hint="eastAsia" w:ascii="宋体" w:hAnsi="宋体" w:eastAsia="宋体" w:cs="宋体"/>
                <w:spacing w:val="-4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spacing w:val="-4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</w:rPr>
              <w:t>分。</w:t>
            </w:r>
          </w:p>
        </w:tc>
      </w:tr>
    </w:tbl>
    <w:p w14:paraId="4D7310F9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textAlignment w:val="baseline"/>
      </w:pPr>
    </w:p>
    <w:p w14:paraId="049FF5CB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spacing w:line="140" w:lineRule="exact"/>
        <w:textAlignment w:val="baseline"/>
      </w:pPr>
    </w:p>
    <w:p w14:paraId="5DFCFD73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textAlignment w:val="baseline"/>
      </w:pPr>
    </w:p>
    <w:sectPr>
      <w:footerReference r:id="rId7" w:type="default"/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DDB193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F0F05E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F0F05E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BC7A2D">
    <w:pPr>
      <w:spacing w:line="196" w:lineRule="exact"/>
      <w:ind w:firstLine="6749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A9CD81">
                          <w:pPr>
                            <w:rPr>
                              <w:rFonts w:eastAsia="宋体"/>
                              <w:sz w:val="18"/>
                            </w:rPr>
                          </w:pPr>
                          <w:r>
                            <w:rPr>
                              <w:rFonts w:hint="eastAsia" w:eastAsia="宋体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sz w:val="18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 w:eastAsia="宋体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4feNI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8A9CD81">
                    <w:pPr>
                      <w:rPr>
                        <w:rFonts w:eastAsia="宋体"/>
                        <w:sz w:val="18"/>
                      </w:rPr>
                    </w:pPr>
                    <w:r>
                      <w:rPr>
                        <w:rFonts w:hint="eastAsia" w:eastAsia="宋体"/>
                        <w:sz w:val="18"/>
                      </w:rPr>
                      <w:fldChar w:fldCharType="begin"/>
                    </w:r>
                    <w:r>
                      <w:rPr>
                        <w:rFonts w:hint="eastAsia" w:eastAsia="宋体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sz w:val="18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 w:eastAsia="宋体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8BAD47"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065539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065539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CFB914">
    <w:r>
      <w:rPr>
        <w:sz w:val="21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240767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9240767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EE7647"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D07E47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D07E47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3DD609"/>
    <w:multiLevelType w:val="singleLevel"/>
    <w:tmpl w:val="123DD609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yZWRhMDM4ZDZmZjUwNzk0YzUzNTBhNjM0MTUyMmMifQ=="/>
  </w:docVars>
  <w:rsids>
    <w:rsidRoot w:val="460B0370"/>
    <w:rsid w:val="00206BEB"/>
    <w:rsid w:val="00257CC6"/>
    <w:rsid w:val="002B5B09"/>
    <w:rsid w:val="007A0B64"/>
    <w:rsid w:val="00886A61"/>
    <w:rsid w:val="008A795D"/>
    <w:rsid w:val="008C6A76"/>
    <w:rsid w:val="00B31338"/>
    <w:rsid w:val="00CD1902"/>
    <w:rsid w:val="00DA2E02"/>
    <w:rsid w:val="00DB2371"/>
    <w:rsid w:val="00F45CE4"/>
    <w:rsid w:val="04F40D92"/>
    <w:rsid w:val="056416A1"/>
    <w:rsid w:val="08A21E5B"/>
    <w:rsid w:val="0973081D"/>
    <w:rsid w:val="09F63E10"/>
    <w:rsid w:val="116B0E66"/>
    <w:rsid w:val="12F76724"/>
    <w:rsid w:val="131A0513"/>
    <w:rsid w:val="1B2534BC"/>
    <w:rsid w:val="20884841"/>
    <w:rsid w:val="20D635C5"/>
    <w:rsid w:val="24036E8A"/>
    <w:rsid w:val="25307B7A"/>
    <w:rsid w:val="287E2CDD"/>
    <w:rsid w:val="2DBE3DF5"/>
    <w:rsid w:val="2EB304FA"/>
    <w:rsid w:val="2F660E68"/>
    <w:rsid w:val="2F992FB3"/>
    <w:rsid w:val="305D69EA"/>
    <w:rsid w:val="31627BDA"/>
    <w:rsid w:val="35221A33"/>
    <w:rsid w:val="35344F2C"/>
    <w:rsid w:val="358E5D6D"/>
    <w:rsid w:val="360742EC"/>
    <w:rsid w:val="3D6D3AA9"/>
    <w:rsid w:val="3DD52FA5"/>
    <w:rsid w:val="40684D04"/>
    <w:rsid w:val="41056527"/>
    <w:rsid w:val="43B01FAF"/>
    <w:rsid w:val="460B0370"/>
    <w:rsid w:val="498520E6"/>
    <w:rsid w:val="4F8F68BA"/>
    <w:rsid w:val="4FB63D5F"/>
    <w:rsid w:val="52EC29CE"/>
    <w:rsid w:val="56666D0E"/>
    <w:rsid w:val="57F939B0"/>
    <w:rsid w:val="58217662"/>
    <w:rsid w:val="591D42B4"/>
    <w:rsid w:val="5DF63241"/>
    <w:rsid w:val="640D39BE"/>
    <w:rsid w:val="65D55294"/>
    <w:rsid w:val="6CAA1785"/>
    <w:rsid w:val="6D6F77BB"/>
    <w:rsid w:val="6F673153"/>
    <w:rsid w:val="717561EE"/>
    <w:rsid w:val="7195200E"/>
    <w:rsid w:val="780574C4"/>
    <w:rsid w:val="7E071D67"/>
    <w:rsid w:val="7EA0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6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eastAsia="黑体"/>
      <w:b/>
      <w:sz w:val="32"/>
    </w:rPr>
  </w:style>
  <w:style w:type="paragraph" w:styleId="7">
    <w:name w:val="heading 4"/>
    <w:basedOn w:val="1"/>
    <w:next w:val="1"/>
    <w:qFormat/>
    <w:uiPriority w:val="1"/>
    <w:pPr>
      <w:ind w:left="100"/>
      <w:outlineLvl w:val="3"/>
    </w:pPr>
    <w:rPr>
      <w:rFonts w:ascii="宋体" w:hAnsi="宋体" w:eastAsia="宋体" w:cs="宋体"/>
      <w:b/>
      <w:bCs/>
      <w:sz w:val="19"/>
      <w:szCs w:val="19"/>
      <w:lang w:val="zh-CN" w:bidi="zh-CN"/>
    </w:rPr>
  </w:style>
  <w:style w:type="character" w:default="1" w:styleId="11">
    <w:name w:val="Default Paragraph Font"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unhideWhenUsed/>
    <w:qFormat/>
    <w:uiPriority w:val="99"/>
    <w:pPr>
      <w:ind w:firstLine="420"/>
    </w:pPr>
    <w:rPr>
      <w:rFonts w:ascii="Calibri" w:hAnsi="Calibri" w:cs="宋体"/>
      <w:sz w:val="24"/>
    </w:rPr>
  </w:style>
  <w:style w:type="paragraph" w:styleId="3">
    <w:name w:val="Body Text Indent"/>
    <w:basedOn w:val="1"/>
    <w:next w:val="4"/>
    <w:unhideWhenUsed/>
    <w:qFormat/>
    <w:uiPriority w:val="99"/>
    <w:pPr>
      <w:ind w:firstLine="200" w:firstLineChars="200"/>
    </w:pPr>
    <w:rPr>
      <w:rFonts w:ascii="Times New Roman" w:hAnsi="Times New Roman" w:eastAsia="仿宋_GB2312"/>
      <w:sz w:val="32"/>
      <w:szCs w:val="32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Title"/>
    <w:next w:val="1"/>
    <w:qFormat/>
    <w:uiPriority w:val="0"/>
    <w:pPr>
      <w:widowControl w:val="0"/>
      <w:spacing w:before="100" w:beforeLines="100" w:after="100" w:afterLines="100" w:line="560" w:lineRule="exact"/>
      <w:jc w:val="center"/>
      <w:outlineLvl w:val="0"/>
    </w:pPr>
    <w:rPr>
      <w:rFonts w:ascii="方正小标宋简体" w:hAnsi="Times New Roman" w:eastAsia="方正小标宋简体" w:cs="Times New Roman"/>
      <w:kern w:val="2"/>
      <w:sz w:val="44"/>
      <w:szCs w:val="44"/>
      <w:lang w:val="en-US" w:eastAsia="zh-CN" w:bidi="ar-SA"/>
    </w:rPr>
  </w:style>
  <w:style w:type="paragraph" w:styleId="8">
    <w:name w:val="Body Text"/>
    <w:basedOn w:val="1"/>
    <w:next w:val="7"/>
    <w:qFormat/>
    <w:uiPriority w:val="1"/>
    <w:rPr>
      <w:rFonts w:ascii="宋体" w:hAnsi="宋体" w:eastAsia="宋体" w:cs="宋体"/>
      <w:sz w:val="19"/>
      <w:szCs w:val="19"/>
      <w:lang w:val="zh-CN" w:bidi="zh-CN"/>
    </w:rPr>
  </w:style>
  <w:style w:type="paragraph" w:styleId="9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页眉 Char"/>
    <w:basedOn w:val="11"/>
    <w:link w:val="9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3358</Words>
  <Characters>3547</Characters>
  <Lines>41</Lines>
  <Paragraphs>11</Paragraphs>
  <TotalTime>3</TotalTime>
  <ScaleCrop>false</ScaleCrop>
  <LinksUpToDate>false</LinksUpToDate>
  <CharactersWithSpaces>3734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2022-01-26T03:56:00Z</dcterms:created>
  <dc:creator>zyxtw</dc:creator>
  <cp:lastModifiedBy>…XM.</cp:lastModifiedBy>
  <cp:lastPrinted>2025-06-05T09:08:36Z</cp:lastPrinted>
  <dcterms:modified xsi:type="dcterms:W3CDTF">2025-06-05T09:10:43Z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6985583857394D53BD91B0FB7FF9C30F_13</vt:lpwstr>
  </property>
  <property fmtid="{D5CDD505-2E9C-101B-9397-08002B2CF9AE}" pid="4" name="KSOTemplateDocerSaveRecord">
    <vt:lpwstr>eyJoZGlkIjoiMzEwNTM5NzYwMDRjMzkwZTVkZjY2ODkwMGIxNGU0OTUiLCJ1c2VySWQiOiI2MTc3NjEzMjEifQ==</vt:lpwstr>
  </property>
  <property fmtid="{D5CDD505-2E9C-101B-9397-08002B2CF9AE}" pid="5" name="fileWhereFroms">
    <vt:lpwstr>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</vt:lpwstr>
  </property>
</Properties>
</file>