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鄂尔多斯空港物流园区路灯灯杆标识牌建设项目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鄂尔多斯空港物流园区管理委员会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内蒙古博蕴项目管理有限公司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EEDSKGS-C-G-250001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内蒙古博蕴项目管理有限公司</w:t>
      </w:r>
      <w:r>
        <w:rPr>
          <w:rFonts w:ascii="仿宋_GB2312" w:hAnsi="仿宋_GB2312" w:cs="仿宋_GB2312" w:eastAsia="仿宋_GB2312"/>
        </w:rPr>
        <w:t xml:space="preserve"> 受 </w:t>
      </w:r>
      <w:r>
        <w:rPr>
          <w:rFonts w:ascii="仿宋_GB2312" w:hAnsi="仿宋_GB2312" w:cs="仿宋_GB2312" w:eastAsia="仿宋_GB2312"/>
        </w:rPr>
        <w:t>鄂尔多斯空港物流园区管理委员会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鄂尔多斯空港物流园区路灯灯杆标识牌建设项目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鄂尔多斯空港物流园区路灯灯杆标识牌建设项目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EEDSKGS-C-G-250001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435002[2025]00003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3,970,000.00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鄂尔多斯空港物流园区路灯灯杆标识牌建设项目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内蒙古博蕴项目管理有限公司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内蒙古自治区包头市青山区装备制造产业园区新规划区世纪路1号包头北大创业孵化营5号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0477-8185161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鄂尔多斯空港物流园区管理委员会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0477-3853984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代理服务费收费标准：采购人支付 代理服务费收费标准：参照内工建协（2022）34号文件“关于印发《内蒙古自治区建设工程招标代理服务收费指导意见》的通知”收费标准下浮20%计取收费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鄂尔多斯空港物流园区管理委员会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内蒙古博蕴项目管理有限公司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鄂尔多斯空港物流园区路灯灯杆标识牌建设项目，详见工程量清单。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鄂尔多斯空港物流园区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1、进度款支付比例不超过月进度审定价的 80%，达到付款条件起30日，支付合同总金额的80.00%</w:t>
            </w:r>
          </w:p>
          <w:p>
            <w:pPr>
              <w:pStyle w:val="null5"/>
              <w:jc w:val="left"/>
            </w:pPr>
            <w:r>
              <w:rPr>
                <w:rFonts w:ascii="仿宋_GB2312" w:hAnsi="仿宋_GB2312" w:cs="仿宋_GB2312" w:eastAsia="仿宋_GB2312"/>
              </w:rPr>
              <w:t>2、工程完工后，最终结算价以竣工结算审定价为准，审定 后付至97%，达到付款条件起30日，支付合同总金额的17.00%</w:t>
            </w:r>
          </w:p>
          <w:p>
            <w:pPr>
              <w:pStyle w:val="null5"/>
              <w:jc w:val="left"/>
            </w:pPr>
            <w:r>
              <w:rPr>
                <w:rFonts w:ascii="仿宋_GB2312" w:hAnsi="仿宋_GB2312" w:cs="仿宋_GB2312" w:eastAsia="仿宋_GB2312"/>
              </w:rPr>
              <w:t>3、剩余3%质保金期满后一个月之内付清，达到付款条件起30日，支付合同总金额的3.00%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标的名称：鄂尔多斯空港物流园区路灯灯杆标识牌建设项目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施工组织设计编制内容详尽完整、科学有效、针对性强及编制水平高等完 全符合项目实际情况的得10分；技术方案内容较为完整、合理、有针对性 、编制水平较为符合项目实际情况的得8分；技术方案内容基本完整、合 理、有针对性、编制水平基本符合项目实际情况的得6分；技术方案内容 不太完整、合理、无针对性、编制水平与项目实际情况不太相符的得4分; 技术方案未考虑项目实际情况的得2分；无相关描述不得分。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根据施工方案完整、合理，技术措施针对工程质量、工期和施工安全保障 等完全符合项目实际情况的得10分；施工方案较为完整，技术措施针对工 程质量、工期和施工安全保障等较为符合项目实际情况的得8分；施工方 案基本完整，技术措施针对工程质量、工期和施工安全保障等基本符合项 目实际情况的得6分；施工方案内容不太完整，技术措施针对工程质量、 工期和施工安全保障等与项目实际情况不太相符的得4分；施工方案未考 虑项目实际情况的得2分；无相关描述不得分。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质量管理体系与措施针对本项目特点进行编制，内容完整、合理、可行性 高、针对性强等完全符合项目实际情况的得10分，质量管理体系与措施内 容完整、合理、可行性高、针对性较为符合项目实际情况的得8分；质量 管理体系与措施内容基本完整、合理、有针对性、编制水平基本符合项目 实际情况的得6分；质量管理体系与措施内容不太完整、无针对性、编制 水平与项目实际情况不太相符的得4分；质量管理体系与措施未考虑项目 实际情况的得2分；无相关描述不得分。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安全管理体系与措施内容完整、合理、可靠、可行性高、针对性等完全符 合项目实际情况的强得10分；安全管理体系与措施较为完整，合理、可靠 、可行性等较为符合项目实际情况的得8分；安全管理体系与措施较为完 整，合理、可靠、可行性等基本符合项目实际情况的得6分；安全管理体 系与措施内容不太完整，与项目实际情况不太相符的得4分；安全管理体 系与措施未考虑项目实际情况的得2分；无相关描述不得分。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针对本项目施工过程中的扬尘、降噪、垃圾清运等制定专门的环境管理体 系与措施，内容完整、合理、可靠、可行性高、针对性强得5分；环境保 护管理体系与措施一般、针对性一般得3分；环境保护管理体系与措施内 容较差、无针对性得1分；无相关描述不得分。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工程进度计划与措施内容完整、合理、可靠、可行性高、针对性强得10分; 工程进度计划与措施内容较完整、合理、可靠、可行性较高、针对性较强 得7分；工程进度计划与措施一般、针对性一般得5分；工程进度计划与措 施内容较差、无针对性得3分；无相关描述不得分。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根据投入的劳动力与施工设备数量、种类完整、合理、可靠、可行性高、 针对性强得10分；投入的劳动力与施工设备数量、种类一般、针对性较强 得7分；投入的劳动力与施工设备数量、种类较差、无针对性一般得5分； 投入的劳动力与施工设备数量、种类差、针对性差得3分；无相关描述不 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近年(2021年1月1日至今，以合同签订时间为准)供应商每承揽过1项类似 施工业绩的，得5分，本项最高得15分(响应文件须附合同原件扫描件)。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