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66AD53">
      <w:pPr>
        <w:pStyle w:val="21"/>
        <w:ind w:left="0" w:leftChars="0" w:firstLine="0" w:firstLineChars="0"/>
        <w:outlineLvl w:val="9"/>
      </w:pPr>
      <w:bookmarkStart w:id="0" w:name="_GoBack"/>
      <w:bookmarkEnd w:id="0"/>
      <w:r>
        <w:t>鄂尔多斯高新技术产业开发区</w:t>
      </w:r>
      <w:r>
        <w:br w:type="textWrapping"/>
      </w:r>
      <w:r>
        <w:t>餐饮服务合同</w:t>
      </w:r>
    </w:p>
    <w:p w14:paraId="52D25D25">
      <w:pPr>
        <w:pStyle w:val="20"/>
        <w:widowControl/>
        <w:numPr>
          <w:ilvl w:val="0"/>
          <w:numId w:val="1"/>
        </w:numPr>
        <w:tabs>
          <w:tab w:val="left" w:pos="1690"/>
          <w:tab w:val="clear" w:pos="210"/>
        </w:tabs>
        <w:ind w:left="0" w:leftChars="0" w:firstLine="600" w:firstLineChars="200"/>
        <w:outlineLvl w:val="0"/>
      </w:pPr>
      <w:r>
        <w:t>总则</w:t>
      </w:r>
    </w:p>
    <w:p w14:paraId="2FF0D021">
      <w:pPr>
        <w:pStyle w:val="12"/>
        <w:widowControl/>
        <w:numPr>
          <w:ilvl w:val="0"/>
          <w:numId w:val="2"/>
        </w:numPr>
        <w:tabs>
          <w:tab w:val="left" w:pos="1320"/>
          <w:tab w:val="clear" w:pos="210"/>
        </w:tabs>
        <w:ind w:left="0" w:leftChars="0" w:firstLine="480" w:firstLineChars="200"/>
        <w:rPr>
          <w:b w:val="0"/>
        </w:rPr>
      </w:pPr>
      <w:r>
        <w:t>本合同当事人</w:t>
      </w:r>
    </w:p>
    <w:p w14:paraId="22407122">
      <w:pPr>
        <w:pStyle w:val="12"/>
        <w:widowControl/>
        <w:ind w:left="0" w:leftChars="0" w:firstLine="480" w:firstLineChars="200"/>
        <w:rPr>
          <w:color w:val="auto"/>
        </w:rPr>
      </w:pPr>
      <w:r>
        <w:rPr>
          <w:color w:val="auto"/>
        </w:rPr>
        <w:t>发包方（以下简称甲方）：</w:t>
      </w:r>
      <w:r>
        <w:rPr>
          <w:color w:val="auto"/>
          <w:u w:val="single" w:color="auto"/>
        </w:rPr>
        <w:t>鄂尔多斯高新技术产业开发区综合保障中心</w:t>
      </w:r>
    </w:p>
    <w:p w14:paraId="2E9EE2DC">
      <w:pPr>
        <w:pStyle w:val="12"/>
        <w:widowControl/>
        <w:ind w:left="0" w:leftChars="0" w:firstLine="480" w:firstLineChars="200"/>
        <w:rPr>
          <w:color w:val="auto"/>
        </w:rPr>
      </w:pPr>
      <w:r>
        <w:rPr>
          <w:color w:val="auto"/>
        </w:rPr>
        <w:t>承包方（以下简称乙方）：</w:t>
      </w:r>
    </w:p>
    <w:p w14:paraId="24550BF5">
      <w:pPr>
        <w:pStyle w:val="12"/>
        <w:widowControl/>
        <w:ind w:left="0" w:leftChars="0" w:firstLine="480" w:firstLineChars="200"/>
        <w:rPr>
          <w:color w:val="auto"/>
        </w:rPr>
      </w:pPr>
      <w:r>
        <w:rPr>
          <w:color w:val="auto"/>
        </w:rPr>
        <w:t>依据《中华人民共和国民法典》等法律、法规和政策，在平等、自愿、协商一致的基础上，就甲方委托乙方对项目实施专业化餐饮管理服务，包括餐厅运营、食材采购、消防安全、厨余处理、餐厅库房管理等，订立本合同。</w:t>
      </w:r>
    </w:p>
    <w:p w14:paraId="4DF1E9AF">
      <w:pPr>
        <w:pStyle w:val="12"/>
        <w:widowControl/>
        <w:numPr>
          <w:ilvl w:val="0"/>
          <w:numId w:val="2"/>
        </w:numPr>
        <w:tabs>
          <w:tab w:val="left" w:pos="1320"/>
          <w:tab w:val="clear" w:pos="210"/>
        </w:tabs>
        <w:ind w:left="0" w:leftChars="0" w:firstLine="480" w:firstLineChars="200"/>
        <w:rPr>
          <w:b w:val="0"/>
        </w:rPr>
      </w:pPr>
      <w:r>
        <w:t>餐饮基本情况</w:t>
      </w:r>
    </w:p>
    <w:p w14:paraId="436E0EF9">
      <w:pPr>
        <w:pStyle w:val="12"/>
        <w:widowControl/>
        <w:ind w:left="0" w:leftChars="0" w:firstLine="480" w:firstLineChars="200"/>
        <w:rPr>
          <w:color w:val="auto"/>
        </w:rPr>
      </w:pPr>
      <w:r>
        <w:rPr>
          <w:color w:val="auto"/>
        </w:rPr>
        <w:t>物业类型：</w:t>
      </w:r>
      <w:r>
        <w:rPr>
          <w:color w:val="auto"/>
          <w:u w:val="none" w:color="auto"/>
        </w:rPr>
        <w:t>办公楼</w:t>
      </w:r>
    </w:p>
    <w:p w14:paraId="612B44B9">
      <w:pPr>
        <w:pStyle w:val="12"/>
        <w:widowControl/>
        <w:ind w:left="0" w:leftChars="0" w:firstLine="480" w:firstLineChars="200"/>
        <w:rPr>
          <w:color w:val="auto"/>
          <w:u w:val="none" w:color="auto"/>
        </w:rPr>
      </w:pPr>
      <w:r>
        <w:rPr>
          <w:color w:val="auto"/>
        </w:rPr>
        <w:t>委托管理面积：</w:t>
      </w:r>
      <w:r>
        <w:rPr>
          <w:color w:val="auto"/>
          <w:u w:val="none" w:color="auto"/>
        </w:rPr>
        <w:t>鄂尔多斯高新技术产业开发区职工餐厅建筑面积1704.00平方米；鄂尔多斯高新区现代轻工产业链餐厅建筑面积115.00平方米；鄂尔多斯高新区高新技术产业链餐厅建筑面积1000.00平方米</w:t>
      </w:r>
    </w:p>
    <w:p w14:paraId="245E1CF1">
      <w:pPr>
        <w:pStyle w:val="12"/>
        <w:widowControl/>
        <w:ind w:left="0" w:leftChars="0" w:firstLine="480" w:firstLineChars="200"/>
      </w:pPr>
      <w:r>
        <w:t>餐厅概况：</w:t>
      </w:r>
    </w:p>
    <w:p w14:paraId="49F04A46">
      <w:pPr>
        <w:pStyle w:val="12"/>
        <w:widowControl/>
        <w:ind w:left="0" w:leftChars="0" w:firstLine="480" w:firstLineChars="200"/>
        <w:rPr>
          <w:color w:val="auto"/>
        </w:rPr>
      </w:pPr>
      <w:r>
        <w:rPr>
          <w:color w:val="auto"/>
          <w:u w:val="none" w:color="auto"/>
        </w:rPr>
        <w:t>鄂尔多斯高新技术产业开发区职工餐厅建筑面积1704.00平方米，目前为鄂尔多斯高新技术产业开发区在岗、在编干部职工以及市、区两级各部门派驻鄂尔多斯高新技术产业开发区在岗、在编的工作人员共计455人提供工作早、中、晚餐保障；鄂尔多斯高新区现代轻工产业链餐厅建筑面积115.00平方米，目前为鄂尔多斯高新技术产业开发区在岗、在编干部职工以及市、区两级各部门派驻鄂尔多斯高新技术产业开发区在岗、在编的工作人员共计18人提供工作早、中、晚餐保障；鄂尔多斯高新区高新技术产业链餐厅建筑面积1000.00平方米，目前为鄂尔多斯高新技术产业开发区的在岗、在编干部职工以及市、区两级各部门派驻鄂尔多斯高新技术产业开发区在岗、在编的工作人员共计98人提供工作早、中、晚餐保障。</w:t>
      </w:r>
    </w:p>
    <w:p w14:paraId="2C503714">
      <w:pPr>
        <w:pStyle w:val="12"/>
        <w:widowControl/>
        <w:numPr>
          <w:ilvl w:val="0"/>
          <w:numId w:val="2"/>
        </w:numPr>
        <w:tabs>
          <w:tab w:val="left" w:pos="1320"/>
          <w:tab w:val="clear" w:pos="210"/>
        </w:tabs>
        <w:ind w:left="0" w:leftChars="0" w:firstLine="480" w:firstLineChars="200"/>
        <w:rPr>
          <w:b w:val="0"/>
        </w:rPr>
      </w:pPr>
      <w:r>
        <w:t>乙方提供服务的受益人为上述人员。</w:t>
      </w:r>
    </w:p>
    <w:p w14:paraId="60BCC11F">
      <w:pPr>
        <w:pStyle w:val="20"/>
        <w:widowControl/>
        <w:numPr>
          <w:ilvl w:val="0"/>
          <w:numId w:val="1"/>
        </w:numPr>
        <w:tabs>
          <w:tab w:val="left" w:pos="1690"/>
          <w:tab w:val="clear" w:pos="210"/>
        </w:tabs>
        <w:ind w:left="0" w:leftChars="0" w:firstLine="600" w:firstLineChars="200"/>
        <w:outlineLvl w:val="0"/>
      </w:pPr>
      <w:r>
        <w:t>委托管理事项</w:t>
      </w:r>
    </w:p>
    <w:p w14:paraId="39F78BF7">
      <w:pPr>
        <w:pStyle w:val="12"/>
        <w:widowControl/>
        <w:ind w:left="0" w:leftChars="0" w:firstLine="480" w:firstLineChars="200"/>
        <w:rPr>
          <w:color w:val="auto"/>
          <w:u w:val="none" w:color="auto"/>
        </w:rPr>
      </w:pPr>
      <w:r>
        <w:rPr>
          <w:b w:val="0"/>
          <w:bCs/>
          <w:color w:val="auto"/>
        </w:rPr>
        <w:t>第四条</w:t>
      </w:r>
      <w:r>
        <w:rPr>
          <w:b/>
          <w:color w:val="auto"/>
        </w:rPr>
        <w:t xml:space="preserve">  </w:t>
      </w:r>
      <w:r>
        <w:rPr>
          <w:color w:val="auto"/>
        </w:rPr>
        <w:t>乙方负责为鄂尔多斯高新技术产业开发区职工餐厅、</w:t>
      </w:r>
      <w:r>
        <w:rPr>
          <w:color w:val="auto"/>
          <w:u w:val="none" w:color="auto"/>
        </w:rPr>
        <w:t>鄂尔多斯高新区现代轻工产业链餐厅、鄂尔多斯高新区高新技术产业链餐厅</w:t>
      </w:r>
      <w:r>
        <w:rPr>
          <w:color w:val="auto"/>
        </w:rPr>
        <w:t>提供</w:t>
      </w:r>
      <w:r>
        <w:rPr>
          <w:color w:val="auto"/>
          <w:u w:val="none" w:color="auto"/>
        </w:rPr>
        <w:t>早餐、中餐、晚餐服务。</w:t>
      </w:r>
    </w:p>
    <w:p w14:paraId="6543B18F">
      <w:pPr>
        <w:pStyle w:val="20"/>
        <w:widowControl/>
        <w:numPr>
          <w:ilvl w:val="0"/>
          <w:numId w:val="1"/>
        </w:numPr>
        <w:tabs>
          <w:tab w:val="left" w:pos="1690"/>
          <w:tab w:val="clear" w:pos="210"/>
        </w:tabs>
        <w:ind w:left="0" w:leftChars="0" w:firstLine="600" w:firstLineChars="200"/>
        <w:outlineLvl w:val="0"/>
      </w:pPr>
      <w:r>
        <w:t>委托管理期限</w:t>
      </w:r>
    </w:p>
    <w:p w14:paraId="6E3D0D1B">
      <w:pPr>
        <w:pStyle w:val="12"/>
        <w:widowControl/>
        <w:ind w:left="0" w:leftChars="0" w:firstLine="480" w:firstLineChars="200"/>
        <w:rPr>
          <w:color w:val="auto"/>
        </w:rPr>
      </w:pPr>
      <w:r>
        <w:rPr>
          <w:b w:val="0"/>
          <w:bCs/>
          <w:color w:val="auto"/>
        </w:rPr>
        <w:t xml:space="preserve">第五条 </w:t>
      </w:r>
      <w:r>
        <w:rPr>
          <w:b/>
          <w:color w:val="auto"/>
        </w:rPr>
        <w:t xml:space="preserve"> </w:t>
      </w:r>
      <w:r>
        <w:rPr>
          <w:color w:val="auto"/>
        </w:rPr>
        <w:t>委托管理期限为二年，自2025年9月 日起至2027年9月 日止。合同采用一年一签形式，根据合同约定，甲方对供应商服务质量、服务内容、服务标准等履约情况按月进行考核，依据考核结果决定是否继续签订下一年度服务合同。因行业主管部门或上级主管部门出台政策等不可抗力因素导致无法续签的，不再进行续签。</w:t>
      </w:r>
    </w:p>
    <w:p w14:paraId="34A74485">
      <w:pPr>
        <w:pStyle w:val="20"/>
        <w:widowControl/>
        <w:numPr>
          <w:ilvl w:val="0"/>
          <w:numId w:val="1"/>
        </w:numPr>
        <w:tabs>
          <w:tab w:val="left" w:pos="1690"/>
          <w:tab w:val="clear" w:pos="210"/>
        </w:tabs>
        <w:ind w:left="0" w:leftChars="0" w:firstLine="600" w:firstLineChars="200"/>
        <w:outlineLvl w:val="0"/>
      </w:pPr>
      <w:r>
        <w:t>餐厅管理服务费</w:t>
      </w:r>
    </w:p>
    <w:p w14:paraId="7D28B525">
      <w:pPr>
        <w:pStyle w:val="12"/>
        <w:widowControl/>
        <w:numPr>
          <w:ilvl w:val="0"/>
          <w:numId w:val="0"/>
        </w:numPr>
        <w:ind w:left="0" w:leftChars="0" w:firstLine="480" w:firstLineChars="200"/>
        <w:rPr>
          <w:b w:val="0"/>
        </w:rPr>
      </w:pPr>
      <w:r>
        <w:rPr>
          <w:rFonts w:hint="eastAsia" w:ascii="Times New Roman" w:hAnsi="Times New Roman" w:eastAsia="宋体" w:cs="Times New Roman"/>
          <w:b w:val="0"/>
          <w:sz w:val="24"/>
        </w:rPr>
        <w:t>第六条</w:t>
      </w:r>
      <w:r>
        <w:rPr>
          <w:rFonts w:hint="eastAsia" w:cs="Times New Roman"/>
          <w:b w:val="0"/>
          <w:sz w:val="24"/>
          <w:lang w:val="en-US" w:eastAsia="zh-CN"/>
        </w:rPr>
        <w:t xml:space="preserve">  </w:t>
      </w:r>
      <w:r>
        <w:t>餐厅管理服务费</w:t>
      </w:r>
    </w:p>
    <w:p w14:paraId="21388906">
      <w:pPr>
        <w:pStyle w:val="12"/>
        <w:widowControl/>
        <w:numPr>
          <w:ilvl w:val="0"/>
          <w:numId w:val="3"/>
        </w:numPr>
        <w:ind w:left="0" w:leftChars="0" w:firstLine="480" w:firstLineChars="200"/>
        <w:rPr>
          <w:b w:val="0"/>
          <w:color w:val="auto"/>
          <w:u w:val="none" w:color="auto"/>
        </w:rPr>
      </w:pPr>
      <w:r>
        <w:rPr>
          <w:color w:val="auto"/>
        </w:rPr>
        <w:t>每年服务费人民币</w:t>
      </w:r>
      <w:r>
        <w:rPr>
          <w:color w:val="auto"/>
          <w:u w:val="none" w:color="auto"/>
        </w:rPr>
        <w:t>（大写）        元整，人民币（小写）    元，即每月人民币（大写）     元整，人民币（小写）     元。</w:t>
      </w:r>
    </w:p>
    <w:p w14:paraId="6396D921">
      <w:pPr>
        <w:pStyle w:val="12"/>
        <w:widowControl/>
        <w:numPr>
          <w:ilvl w:val="0"/>
          <w:numId w:val="3"/>
        </w:numPr>
        <w:ind w:left="0" w:leftChars="0" w:firstLine="480" w:firstLineChars="200"/>
        <w:rPr>
          <w:b w:val="0"/>
          <w:color w:val="auto"/>
        </w:rPr>
      </w:pPr>
      <w:r>
        <w:rPr>
          <w:color w:val="auto"/>
        </w:rPr>
        <w:t>支付方式：依据考核结果</w:t>
      </w:r>
      <w:r>
        <w:rPr>
          <w:b/>
          <w:color w:val="auto"/>
        </w:rPr>
        <w:t>按季度支付</w:t>
      </w:r>
      <w:r>
        <w:rPr>
          <w:color w:val="auto"/>
        </w:rPr>
        <w:t>餐饮服务费。付款前乙方需提供符合财政支付要求的发票。</w:t>
      </w:r>
    </w:p>
    <w:p w14:paraId="5136CBDD">
      <w:pPr>
        <w:pStyle w:val="12"/>
        <w:widowControl/>
        <w:numPr>
          <w:ilvl w:val="0"/>
          <w:numId w:val="3"/>
        </w:numPr>
        <w:ind w:left="0" w:leftChars="0" w:firstLine="480" w:firstLineChars="200"/>
        <w:rPr>
          <w:b w:val="0"/>
          <w:color w:val="auto"/>
        </w:rPr>
      </w:pPr>
      <w:r>
        <w:rPr>
          <w:color w:val="auto"/>
        </w:rPr>
        <w:t>乙方向甲方提供本合同约定以外的服务项目，其收费标准和收费方式另行商定。</w:t>
      </w:r>
    </w:p>
    <w:p w14:paraId="668A82EB">
      <w:pPr>
        <w:pStyle w:val="12"/>
        <w:widowControl/>
        <w:numPr>
          <w:ilvl w:val="0"/>
          <w:numId w:val="3"/>
        </w:numPr>
        <w:ind w:left="0" w:leftChars="0" w:firstLine="480" w:firstLineChars="200"/>
        <w:rPr>
          <w:b w:val="0"/>
          <w:color w:val="auto"/>
        </w:rPr>
      </w:pPr>
      <w:r>
        <w:rPr>
          <w:color w:val="auto"/>
        </w:rPr>
        <w:t>在服务过程中，如甲方需增加服务人员或在约定服务内容的基础上增设或扩大相关服务项目，按照招标约定的报价增加相应费用。</w:t>
      </w:r>
    </w:p>
    <w:p w14:paraId="4B6D8669">
      <w:pPr>
        <w:pStyle w:val="12"/>
        <w:widowControl/>
        <w:numPr>
          <w:ilvl w:val="0"/>
          <w:numId w:val="0"/>
        </w:numPr>
        <w:ind w:left="0" w:leftChars="0" w:firstLine="480" w:firstLineChars="200"/>
        <w:rPr>
          <w:b w:val="0"/>
        </w:rPr>
      </w:pPr>
      <w:r>
        <w:rPr>
          <w:rFonts w:hint="eastAsia" w:ascii="Times New Roman" w:hAnsi="Times New Roman" w:eastAsia="宋体" w:cs="Times New Roman"/>
          <w:b w:val="0"/>
          <w:sz w:val="24"/>
        </w:rPr>
        <w:t>第七条</w:t>
      </w:r>
      <w:r>
        <w:rPr>
          <w:rFonts w:hint="eastAsia" w:cs="Times New Roman"/>
          <w:b w:val="0"/>
          <w:sz w:val="24"/>
          <w:lang w:val="en-US" w:eastAsia="zh-CN"/>
        </w:rPr>
        <w:t xml:space="preserve">  </w:t>
      </w:r>
      <w:r>
        <w:t>费用界定</w:t>
      </w:r>
    </w:p>
    <w:p w14:paraId="6B50B96B">
      <w:pPr>
        <w:pStyle w:val="4"/>
        <w:widowControl/>
        <w:numPr>
          <w:ilvl w:val="0"/>
          <w:numId w:val="0"/>
        </w:numPr>
        <w:tabs>
          <w:tab w:val="left" w:pos="901"/>
        </w:tabs>
        <w:ind w:left="0" w:leftChars="0" w:firstLine="482" w:firstLineChars="200"/>
      </w:pPr>
      <w:r>
        <w:rPr>
          <w:rFonts w:hint="default" w:ascii="Times New Roman" w:hAnsi="Times New Roman" w:eastAsia="宋体" w:cs="Times New Roman"/>
          <w:b/>
          <w:sz w:val="24"/>
        </w:rPr>
        <w:t>1.</w:t>
      </w:r>
      <w:r>
        <w:t>甲方负责的费用</w:t>
      </w:r>
    </w:p>
    <w:p w14:paraId="6C6FAE64">
      <w:pPr>
        <w:pStyle w:val="12"/>
        <w:widowControl/>
        <w:numPr>
          <w:ilvl w:val="0"/>
          <w:numId w:val="4"/>
        </w:numPr>
        <w:tabs>
          <w:tab w:val="left" w:pos="1080"/>
        </w:tabs>
        <w:topLinePunct w:val="0"/>
        <w:ind w:left="0" w:leftChars="0" w:firstLine="480" w:firstLineChars="200"/>
        <w:rPr>
          <w:b w:val="0"/>
          <w:color w:val="auto"/>
        </w:rPr>
      </w:pPr>
      <w:r>
        <w:rPr>
          <w:color w:val="auto"/>
        </w:rPr>
        <w:t>甲方提供餐厅所需服务场所及相关设施设备。服务期内必须添置或更换相关设施设备时，由乙方提出申请，经甲方同意后由甲方购买；</w:t>
      </w:r>
    </w:p>
    <w:p w14:paraId="3C8B33F3">
      <w:pPr>
        <w:pStyle w:val="12"/>
        <w:widowControl/>
        <w:numPr>
          <w:ilvl w:val="0"/>
          <w:numId w:val="4"/>
        </w:numPr>
        <w:tabs>
          <w:tab w:val="left" w:pos="1080"/>
        </w:tabs>
        <w:topLinePunct w:val="0"/>
        <w:ind w:left="0" w:leftChars="0" w:firstLine="480" w:firstLineChars="200"/>
        <w:rPr>
          <w:b w:val="0"/>
          <w:color w:val="auto"/>
        </w:rPr>
      </w:pPr>
      <w:r>
        <w:rPr>
          <w:color w:val="auto"/>
        </w:rPr>
        <w:t>餐厅区域内涉及到消防器材的定期年检及灭火器的补压费用；</w:t>
      </w:r>
    </w:p>
    <w:p w14:paraId="31EE4657">
      <w:pPr>
        <w:pStyle w:val="12"/>
        <w:widowControl/>
        <w:numPr>
          <w:ilvl w:val="0"/>
          <w:numId w:val="4"/>
        </w:numPr>
        <w:tabs>
          <w:tab w:val="left" w:pos="1080"/>
        </w:tabs>
        <w:topLinePunct w:val="0"/>
        <w:ind w:left="0" w:leftChars="0" w:firstLine="480" w:firstLineChars="200"/>
        <w:rPr>
          <w:b w:val="0"/>
          <w:color w:val="auto"/>
        </w:rPr>
      </w:pPr>
      <w:r>
        <w:rPr>
          <w:color w:val="auto"/>
        </w:rPr>
        <w:t>餐厅公共区域、室内外绿植养护费用；</w:t>
      </w:r>
    </w:p>
    <w:p w14:paraId="078E781C">
      <w:pPr>
        <w:pStyle w:val="12"/>
        <w:widowControl/>
        <w:numPr>
          <w:ilvl w:val="0"/>
          <w:numId w:val="4"/>
        </w:numPr>
        <w:tabs>
          <w:tab w:val="left" w:pos="1080"/>
        </w:tabs>
        <w:topLinePunct w:val="0"/>
        <w:ind w:left="0" w:leftChars="0" w:firstLine="480" w:firstLineChars="200"/>
        <w:rPr>
          <w:b w:val="0"/>
          <w:color w:val="auto"/>
        </w:rPr>
      </w:pPr>
      <w:r>
        <w:rPr>
          <w:color w:val="auto"/>
        </w:rPr>
        <w:t>餐饮服务场地的水、电、暖、气的所有支出费用；</w:t>
      </w:r>
    </w:p>
    <w:p w14:paraId="4EE9D2FC">
      <w:pPr>
        <w:pStyle w:val="12"/>
        <w:widowControl/>
        <w:numPr>
          <w:ilvl w:val="0"/>
          <w:numId w:val="4"/>
        </w:numPr>
        <w:tabs>
          <w:tab w:val="left" w:pos="1080"/>
        </w:tabs>
        <w:topLinePunct w:val="0"/>
        <w:ind w:left="0" w:leftChars="0" w:firstLine="480" w:firstLineChars="200"/>
        <w:rPr>
          <w:b w:val="0"/>
          <w:color w:val="auto"/>
        </w:rPr>
      </w:pPr>
      <w:r>
        <w:rPr>
          <w:color w:val="auto"/>
        </w:rPr>
        <w:t>甲方免费提供乙方服务该项目值班所需的宿舍。</w:t>
      </w:r>
    </w:p>
    <w:p w14:paraId="36C69C90">
      <w:pPr>
        <w:pStyle w:val="4"/>
        <w:widowControl/>
        <w:numPr>
          <w:ilvl w:val="0"/>
          <w:numId w:val="0"/>
        </w:numPr>
        <w:tabs>
          <w:tab w:val="left" w:pos="901"/>
        </w:tabs>
        <w:ind w:left="0" w:leftChars="0" w:firstLine="482" w:firstLineChars="200"/>
      </w:pPr>
      <w:r>
        <w:rPr>
          <w:rFonts w:hint="default" w:ascii="Times New Roman" w:hAnsi="Times New Roman" w:eastAsia="宋体" w:cs="Times New Roman"/>
          <w:b/>
          <w:sz w:val="24"/>
        </w:rPr>
        <w:t>2.</w:t>
      </w:r>
      <w:r>
        <w:t>乙方报价中包含费用</w:t>
      </w:r>
    </w:p>
    <w:p w14:paraId="59866940">
      <w:pPr>
        <w:pStyle w:val="12"/>
        <w:widowControl/>
        <w:numPr>
          <w:ilvl w:val="0"/>
          <w:numId w:val="5"/>
        </w:numPr>
        <w:tabs>
          <w:tab w:val="left" w:pos="1080"/>
        </w:tabs>
        <w:topLinePunct w:val="0"/>
        <w:ind w:left="0" w:leftChars="0" w:firstLine="480" w:firstLineChars="200"/>
        <w:rPr>
          <w:b w:val="0"/>
          <w:color w:val="auto"/>
        </w:rPr>
      </w:pPr>
      <w:r>
        <w:rPr>
          <w:color w:val="auto"/>
        </w:rPr>
        <w:t>用工成本。</w:t>
      </w:r>
    </w:p>
    <w:p w14:paraId="0C6458C6">
      <w:pPr>
        <w:pStyle w:val="12"/>
        <w:widowControl/>
        <w:numPr>
          <w:ilvl w:val="0"/>
          <w:numId w:val="5"/>
        </w:numPr>
        <w:tabs>
          <w:tab w:val="left" w:pos="1080"/>
        </w:tabs>
        <w:topLinePunct w:val="0"/>
        <w:ind w:left="0" w:leftChars="0" w:firstLine="480" w:firstLineChars="200"/>
        <w:rPr>
          <w:b w:val="0"/>
          <w:color w:val="auto"/>
        </w:rPr>
      </w:pPr>
      <w:r>
        <w:rPr>
          <w:color w:val="auto"/>
        </w:rPr>
        <w:t>行政办公费用，包括食材采购、运送等交通费；办公用品用具、继续教育费、日常通讯费等；</w:t>
      </w:r>
    </w:p>
    <w:p w14:paraId="43B2E6E5">
      <w:pPr>
        <w:pStyle w:val="12"/>
        <w:widowControl/>
        <w:numPr>
          <w:ilvl w:val="0"/>
          <w:numId w:val="5"/>
        </w:numPr>
        <w:tabs>
          <w:tab w:val="left" w:pos="1080"/>
        </w:tabs>
        <w:topLinePunct w:val="0"/>
        <w:ind w:left="0" w:leftChars="0" w:firstLine="480" w:firstLineChars="200"/>
        <w:rPr>
          <w:b w:val="0"/>
          <w:color w:val="auto"/>
        </w:rPr>
      </w:pPr>
      <w:r>
        <w:rPr>
          <w:color w:val="auto"/>
        </w:rPr>
        <w:t>清洁耗材、保洁费（日常所需的拖布、扫把、清洁药剂等）；</w:t>
      </w:r>
    </w:p>
    <w:p w14:paraId="2F926627">
      <w:pPr>
        <w:pStyle w:val="12"/>
        <w:widowControl/>
        <w:numPr>
          <w:ilvl w:val="0"/>
          <w:numId w:val="5"/>
        </w:numPr>
        <w:tabs>
          <w:tab w:val="left" w:pos="1080"/>
        </w:tabs>
        <w:topLinePunct w:val="0"/>
        <w:ind w:left="0" w:leftChars="0" w:firstLine="480" w:firstLineChars="200"/>
        <w:rPr>
          <w:b w:val="0"/>
          <w:color w:val="auto"/>
        </w:rPr>
      </w:pPr>
      <w:r>
        <w:rPr>
          <w:color w:val="auto"/>
        </w:rPr>
        <w:t>除四害消杀费用（蟑螂药、老鼠药等）；</w:t>
      </w:r>
    </w:p>
    <w:p w14:paraId="5DAD336D">
      <w:pPr>
        <w:pStyle w:val="12"/>
        <w:widowControl/>
        <w:numPr>
          <w:ilvl w:val="0"/>
          <w:numId w:val="5"/>
        </w:numPr>
        <w:tabs>
          <w:tab w:val="left" w:pos="1080"/>
        </w:tabs>
        <w:topLinePunct w:val="0"/>
        <w:ind w:left="0" w:leftChars="0" w:firstLine="480" w:firstLineChars="200"/>
        <w:rPr>
          <w:b w:val="0"/>
          <w:color w:val="auto"/>
        </w:rPr>
      </w:pPr>
      <w:r>
        <w:rPr>
          <w:color w:val="auto"/>
        </w:rPr>
        <w:t>员工的服装费用、行李等劳保费；</w:t>
      </w:r>
    </w:p>
    <w:p w14:paraId="234F5165">
      <w:pPr>
        <w:pStyle w:val="12"/>
        <w:widowControl/>
        <w:numPr>
          <w:ilvl w:val="0"/>
          <w:numId w:val="5"/>
        </w:numPr>
        <w:tabs>
          <w:tab w:val="left" w:pos="1080"/>
        </w:tabs>
        <w:topLinePunct w:val="0"/>
        <w:ind w:left="0" w:leftChars="0" w:firstLine="480" w:firstLineChars="200"/>
        <w:rPr>
          <w:b w:val="0"/>
          <w:color w:val="auto"/>
        </w:rPr>
      </w:pPr>
      <w:r>
        <w:rPr>
          <w:color w:val="auto"/>
        </w:rPr>
        <w:t>负责一次性备品（牙签、餐巾、筷套）等耗材的提供；</w:t>
      </w:r>
    </w:p>
    <w:p w14:paraId="4B04B58E">
      <w:pPr>
        <w:pStyle w:val="12"/>
        <w:widowControl/>
        <w:numPr>
          <w:ilvl w:val="0"/>
          <w:numId w:val="5"/>
        </w:numPr>
        <w:tabs>
          <w:tab w:val="left" w:pos="1080"/>
        </w:tabs>
        <w:topLinePunct w:val="0"/>
        <w:ind w:left="0" w:leftChars="0" w:firstLine="480" w:firstLineChars="200"/>
        <w:rPr>
          <w:b w:val="0"/>
          <w:color w:val="auto"/>
        </w:rPr>
      </w:pPr>
      <w:r>
        <w:rPr>
          <w:color w:val="auto"/>
        </w:rPr>
        <w:t>负责蔬菜、肉类、调味品和辅料的采购供应；</w:t>
      </w:r>
    </w:p>
    <w:p w14:paraId="601AD40E">
      <w:pPr>
        <w:pStyle w:val="12"/>
        <w:widowControl/>
        <w:numPr>
          <w:ilvl w:val="0"/>
          <w:numId w:val="5"/>
        </w:numPr>
        <w:tabs>
          <w:tab w:val="left" w:pos="1080"/>
        </w:tabs>
        <w:topLinePunct w:val="0"/>
        <w:ind w:left="0" w:leftChars="0" w:firstLine="480" w:firstLineChars="200"/>
        <w:rPr>
          <w:b w:val="0"/>
          <w:color w:val="auto"/>
        </w:rPr>
      </w:pPr>
      <w:r>
        <w:rPr>
          <w:color w:val="auto"/>
        </w:rPr>
        <w:t>管理利润；</w:t>
      </w:r>
    </w:p>
    <w:p w14:paraId="5271A75A">
      <w:pPr>
        <w:pStyle w:val="12"/>
        <w:widowControl/>
        <w:numPr>
          <w:ilvl w:val="0"/>
          <w:numId w:val="5"/>
        </w:numPr>
        <w:tabs>
          <w:tab w:val="left" w:pos="1080"/>
        </w:tabs>
        <w:topLinePunct w:val="0"/>
        <w:ind w:left="0" w:leftChars="0" w:firstLine="480" w:firstLineChars="200"/>
        <w:rPr>
          <w:b w:val="0"/>
          <w:color w:val="auto"/>
        </w:rPr>
      </w:pPr>
      <w:r>
        <w:rPr>
          <w:color w:val="auto"/>
        </w:rPr>
        <w:t>税金。</w:t>
      </w:r>
    </w:p>
    <w:p w14:paraId="31C6CF33">
      <w:pPr>
        <w:pStyle w:val="20"/>
        <w:widowControl/>
        <w:numPr>
          <w:ilvl w:val="0"/>
          <w:numId w:val="1"/>
        </w:numPr>
        <w:tabs>
          <w:tab w:val="left" w:pos="1690"/>
          <w:tab w:val="clear" w:pos="210"/>
        </w:tabs>
        <w:ind w:left="0" w:leftChars="0" w:firstLine="600" w:firstLineChars="200"/>
        <w:outlineLvl w:val="0"/>
      </w:pPr>
      <w:r>
        <w:t>经营模式</w:t>
      </w:r>
    </w:p>
    <w:p w14:paraId="3EE4F366">
      <w:pPr>
        <w:pStyle w:val="12"/>
        <w:widowControl/>
        <w:ind w:left="0" w:leftChars="0" w:firstLine="480" w:firstLineChars="200"/>
      </w:pPr>
      <w:r>
        <w:t>第八条  经营模式说明</w:t>
      </w:r>
    </w:p>
    <w:p w14:paraId="69D68EB6">
      <w:pPr>
        <w:pStyle w:val="12"/>
        <w:widowControl/>
        <w:numPr>
          <w:ilvl w:val="0"/>
          <w:numId w:val="6"/>
        </w:numPr>
        <w:ind w:left="0" w:leftChars="0" w:firstLine="480" w:firstLineChars="200"/>
        <w:rPr>
          <w:b w:val="0"/>
          <w:color w:val="auto"/>
        </w:rPr>
      </w:pPr>
      <w:r>
        <w:rPr>
          <w:color w:val="auto"/>
        </w:rPr>
        <w:t>采用经营型服务模式，日常供餐采用自选方式供餐，就餐范围为辖区内所有工作人员。售餐主要以卡机刷卡形式进行售餐，所有用餐人员消费款项均直接进入乙方管理的卡机账户内；宴会餐费根据次数及用餐人数据实结算，每月底双方指定专人对卡机刷卡数据及充值金额进行核对，并签署费用结算单，公示无异议后予以确认。</w:t>
      </w:r>
    </w:p>
    <w:p w14:paraId="78ECC3E2">
      <w:pPr>
        <w:pStyle w:val="12"/>
        <w:widowControl/>
        <w:numPr>
          <w:ilvl w:val="0"/>
          <w:numId w:val="6"/>
        </w:numPr>
        <w:ind w:left="0" w:leftChars="0" w:firstLine="480" w:firstLineChars="200"/>
        <w:rPr>
          <w:b w:val="0"/>
          <w:color w:val="auto"/>
        </w:rPr>
      </w:pPr>
      <w:r>
        <w:rPr>
          <w:color w:val="auto"/>
        </w:rPr>
        <w:t>菜谱制定标准：根据市场价格，双方共同制定饭菜质量标准。制定菜谱时，确定主材料及成分含量，并于每周四16:00之前把下周菜谱与甲方进行协商，双方确定的菜谱乙方不得单独更换；因特殊情况需要更改时，需提前一天请示甲方。乙方确保每周菜品不在当月内重复出现，保持每周至少推出一道新菜。</w:t>
      </w:r>
    </w:p>
    <w:p w14:paraId="23614A38">
      <w:pPr>
        <w:pStyle w:val="12"/>
        <w:widowControl/>
        <w:numPr>
          <w:ilvl w:val="0"/>
          <w:numId w:val="6"/>
        </w:numPr>
        <w:ind w:left="0" w:leftChars="0" w:firstLine="480" w:firstLineChars="200"/>
        <w:rPr>
          <w:b w:val="0"/>
          <w:color w:val="auto"/>
        </w:rPr>
      </w:pPr>
      <w:r>
        <w:rPr>
          <w:color w:val="auto"/>
        </w:rPr>
        <w:t>甲方如遇节假日、重大活动、较大的人数变动或临时工作用餐需求时，事前通知乙方现场工作人员获知。</w:t>
      </w:r>
    </w:p>
    <w:p w14:paraId="431D74C5">
      <w:pPr>
        <w:pStyle w:val="12"/>
        <w:widowControl/>
        <w:numPr>
          <w:ilvl w:val="0"/>
          <w:numId w:val="6"/>
        </w:numPr>
        <w:ind w:left="0" w:leftChars="0" w:firstLine="480" w:firstLineChars="200"/>
        <w:rPr>
          <w:b w:val="0"/>
          <w:color w:val="auto"/>
        </w:rPr>
      </w:pPr>
      <w:r>
        <w:rPr>
          <w:color w:val="auto"/>
        </w:rPr>
        <w:t>乙方自行聘用厨师及服务人员，并负责支付工资、福利等人员费用。</w:t>
      </w:r>
    </w:p>
    <w:p w14:paraId="4D2B3944">
      <w:pPr>
        <w:pStyle w:val="12"/>
        <w:widowControl/>
        <w:numPr>
          <w:ilvl w:val="0"/>
          <w:numId w:val="6"/>
        </w:numPr>
        <w:ind w:left="0" w:leftChars="0" w:firstLine="480" w:firstLineChars="200"/>
        <w:rPr>
          <w:b w:val="0"/>
          <w:color w:val="auto"/>
        </w:rPr>
      </w:pPr>
      <w:r>
        <w:rPr>
          <w:color w:val="auto"/>
        </w:rPr>
        <w:t>服务期内如需添置或更换厨房的设备，由乙方提出申请，经甲方同意后方可购买。</w:t>
      </w:r>
    </w:p>
    <w:p w14:paraId="37BDFAFC">
      <w:pPr>
        <w:pStyle w:val="12"/>
        <w:widowControl/>
        <w:numPr>
          <w:ilvl w:val="0"/>
          <w:numId w:val="6"/>
        </w:numPr>
        <w:ind w:left="0" w:leftChars="0" w:firstLine="480" w:firstLineChars="200"/>
        <w:rPr>
          <w:b w:val="0"/>
          <w:color w:val="auto"/>
        </w:rPr>
      </w:pPr>
      <w:r>
        <w:rPr>
          <w:color w:val="auto"/>
        </w:rPr>
        <w:t>乙方饭菜价格须与甲方协商后执行，秉承成本经营，不增加利润。</w:t>
      </w:r>
    </w:p>
    <w:p w14:paraId="13591A55">
      <w:pPr>
        <w:pStyle w:val="12"/>
        <w:widowControl/>
        <w:numPr>
          <w:ilvl w:val="0"/>
          <w:numId w:val="6"/>
        </w:numPr>
        <w:ind w:left="0" w:leftChars="0" w:firstLine="482" w:firstLineChars="200"/>
        <w:rPr>
          <w:b/>
          <w:color w:val="auto"/>
        </w:rPr>
      </w:pPr>
      <w:r>
        <w:rPr>
          <w:b/>
          <w:color w:val="auto"/>
        </w:rPr>
        <w:t>采购成本以采购食材当日，本地二级农贸市场食材批发挂牌价为准。</w:t>
      </w:r>
    </w:p>
    <w:p w14:paraId="4F6A281C">
      <w:pPr>
        <w:pStyle w:val="20"/>
        <w:widowControl/>
        <w:numPr>
          <w:ilvl w:val="0"/>
          <w:numId w:val="1"/>
        </w:numPr>
        <w:tabs>
          <w:tab w:val="left" w:pos="1690"/>
          <w:tab w:val="clear" w:pos="210"/>
        </w:tabs>
        <w:ind w:left="0" w:leftChars="0" w:firstLine="600" w:firstLineChars="200"/>
        <w:outlineLvl w:val="0"/>
      </w:pPr>
      <w:r>
        <w:t>服务质量要求</w:t>
      </w:r>
    </w:p>
    <w:p w14:paraId="07336FD2">
      <w:pPr>
        <w:pStyle w:val="12"/>
        <w:widowControl/>
        <w:numPr>
          <w:ilvl w:val="0"/>
          <w:numId w:val="7"/>
        </w:numPr>
        <w:tabs>
          <w:tab w:val="left" w:pos="1320"/>
          <w:tab w:val="clear" w:pos="210"/>
        </w:tabs>
        <w:ind w:left="0" w:leftChars="0" w:firstLine="480" w:firstLineChars="200"/>
        <w:rPr>
          <w:b w:val="0"/>
        </w:rPr>
      </w:pPr>
      <w:r>
        <w:t>服务目标</w:t>
      </w:r>
    </w:p>
    <w:p w14:paraId="6F952397">
      <w:pPr>
        <w:pStyle w:val="12"/>
        <w:widowControl/>
        <w:ind w:left="0" w:leftChars="0" w:firstLine="480" w:firstLineChars="200"/>
        <w:rPr>
          <w:color w:val="auto"/>
        </w:rPr>
      </w:pPr>
      <w:r>
        <w:rPr>
          <w:color w:val="auto"/>
        </w:rPr>
        <w:t>无食物中毒事故，无重大安全事故，卫生达标率达到“三星级”酒店标准，就餐和服务满意率达85%以上。</w:t>
      </w:r>
    </w:p>
    <w:p w14:paraId="012057D8">
      <w:pPr>
        <w:pStyle w:val="12"/>
        <w:widowControl/>
        <w:numPr>
          <w:ilvl w:val="0"/>
          <w:numId w:val="7"/>
        </w:numPr>
        <w:tabs>
          <w:tab w:val="left" w:pos="1320"/>
          <w:tab w:val="clear" w:pos="210"/>
        </w:tabs>
        <w:ind w:left="0" w:leftChars="0" w:firstLine="480" w:firstLineChars="200"/>
        <w:rPr>
          <w:b w:val="0"/>
        </w:rPr>
      </w:pPr>
      <w:r>
        <w:t>各岗位人员配置、员工管理及人员素质要求</w:t>
      </w:r>
    </w:p>
    <w:p w14:paraId="750BF6FE">
      <w:pPr>
        <w:pStyle w:val="12"/>
        <w:widowControl/>
        <w:numPr>
          <w:ilvl w:val="0"/>
          <w:numId w:val="8"/>
        </w:numPr>
        <w:tabs>
          <w:tab w:val="left" w:pos="780"/>
          <w:tab w:val="clear" w:pos="210"/>
        </w:tabs>
        <w:ind w:left="0" w:leftChars="0" w:firstLine="480" w:firstLineChars="200"/>
        <w:rPr>
          <w:b w:val="0"/>
          <w:color w:val="auto"/>
        </w:rPr>
      </w:pPr>
      <w:r>
        <w:rPr>
          <w:color w:val="auto"/>
        </w:rPr>
        <w:t>餐厅工作人员不得少于  人，主管  人、厨师长  人、库管  人、热菜厨师  人、凉菜厨师  人、粗加工  人、面点  人、洗碗工  人、餐饮服务员  人，合计  人（注：为保证服务质量，所有服务人员必须定岗定人，不得兼任其他岗位或职务，服务过程中确保人员稳定，把控人员流失）。</w:t>
      </w:r>
    </w:p>
    <w:p w14:paraId="7D626B62">
      <w:pPr>
        <w:pStyle w:val="12"/>
        <w:widowControl/>
        <w:numPr>
          <w:ilvl w:val="0"/>
          <w:numId w:val="8"/>
        </w:numPr>
        <w:tabs>
          <w:tab w:val="left" w:pos="780"/>
          <w:tab w:val="clear" w:pos="210"/>
        </w:tabs>
        <w:ind w:left="0" w:leftChars="0" w:firstLine="480" w:firstLineChars="200"/>
        <w:rPr>
          <w:b w:val="0"/>
          <w:color w:val="auto"/>
        </w:rPr>
      </w:pPr>
      <w:r>
        <w:rPr>
          <w:color w:val="auto"/>
        </w:rPr>
        <w:t>所有餐饮服务人员必须经政审合格后方可雇佣上岗。</w:t>
      </w:r>
    </w:p>
    <w:p w14:paraId="1759B9D1">
      <w:pPr>
        <w:pStyle w:val="12"/>
        <w:widowControl/>
        <w:numPr>
          <w:ilvl w:val="0"/>
          <w:numId w:val="8"/>
        </w:numPr>
        <w:tabs>
          <w:tab w:val="left" w:pos="780"/>
          <w:tab w:val="clear" w:pos="210"/>
        </w:tabs>
        <w:ind w:left="0" w:leftChars="0" w:firstLine="480" w:firstLineChars="200"/>
        <w:rPr>
          <w:b w:val="0"/>
          <w:color w:val="auto"/>
        </w:rPr>
      </w:pPr>
      <w:r>
        <w:rPr>
          <w:color w:val="auto"/>
        </w:rPr>
        <w:t>所有餐饮服务人员按岗位要求统一着装、言行规范，注意仪容仪表、符合公众形象，定期组织道德教育和技能培训。</w:t>
      </w:r>
    </w:p>
    <w:p w14:paraId="60125CAB">
      <w:pPr>
        <w:pStyle w:val="12"/>
        <w:widowControl/>
        <w:numPr>
          <w:ilvl w:val="0"/>
          <w:numId w:val="9"/>
        </w:numPr>
        <w:tabs>
          <w:tab w:val="left" w:pos="1080"/>
        </w:tabs>
        <w:topLinePunct w:val="0"/>
        <w:ind w:left="0" w:leftChars="0" w:firstLine="480" w:firstLineChars="200"/>
        <w:rPr>
          <w:b w:val="0"/>
          <w:color w:val="auto"/>
        </w:rPr>
      </w:pPr>
      <w:r>
        <w:rPr>
          <w:color w:val="auto"/>
        </w:rPr>
        <w:t>上岗要求：乙方负责安排人员岗前培训，内容包括卫生、消毒、安全、消防、服务、设备操作等，培训合格后方可上岗。</w:t>
      </w:r>
    </w:p>
    <w:p w14:paraId="6D088728">
      <w:pPr>
        <w:pStyle w:val="12"/>
        <w:widowControl/>
        <w:numPr>
          <w:ilvl w:val="0"/>
          <w:numId w:val="9"/>
        </w:numPr>
        <w:tabs>
          <w:tab w:val="left" w:pos="1080"/>
        </w:tabs>
        <w:topLinePunct w:val="0"/>
        <w:ind w:left="0" w:leftChars="0" w:firstLine="480" w:firstLineChars="200"/>
        <w:rPr>
          <w:b w:val="0"/>
          <w:color w:val="auto"/>
        </w:rPr>
      </w:pPr>
      <w:r>
        <w:rPr>
          <w:color w:val="auto"/>
        </w:rPr>
        <w:t>人员要求：①从业人员应持有效的健康证明，建立从业人员基础档案，定期开展食品安全知识培训，做好培训记录。从业人员应保持良好的个人卫生，坚持每日晨检并做好记录，凡有发热、腹泻、皮肤伤口或感染、咽部炎症等症状的人员，不得参加直接接触食品的工作。</w:t>
      </w:r>
    </w:p>
    <w:p w14:paraId="0D149DB5">
      <w:pPr>
        <w:pStyle w:val="12"/>
        <w:widowControl/>
        <w:numPr>
          <w:ilvl w:val="0"/>
          <w:numId w:val="10"/>
        </w:numPr>
        <w:tabs>
          <w:tab w:val="left" w:pos="840"/>
          <w:tab w:val="clear" w:pos="210"/>
        </w:tabs>
        <w:ind w:left="0" w:leftChars="0" w:firstLine="480" w:firstLineChars="200"/>
        <w:rPr>
          <w:b w:val="0"/>
          <w:color w:val="auto"/>
        </w:rPr>
      </w:pPr>
      <w:r>
        <w:rPr>
          <w:color w:val="auto"/>
        </w:rPr>
        <w:t>管理人员和专业技术人才培训合格后上岗，应配备专职食品安全管理员。</w:t>
      </w:r>
    </w:p>
    <w:p w14:paraId="4EF0D912">
      <w:pPr>
        <w:pStyle w:val="12"/>
        <w:widowControl/>
        <w:numPr>
          <w:ilvl w:val="0"/>
          <w:numId w:val="10"/>
        </w:numPr>
        <w:tabs>
          <w:tab w:val="left" w:pos="840"/>
          <w:tab w:val="clear" w:pos="210"/>
        </w:tabs>
        <w:ind w:left="0" w:leftChars="0" w:firstLine="480" w:firstLineChars="200"/>
        <w:rPr>
          <w:b w:val="0"/>
          <w:color w:val="auto"/>
        </w:rPr>
      </w:pPr>
      <w:r>
        <w:rPr>
          <w:color w:val="auto"/>
        </w:rPr>
        <w:t>应结合本食堂实际制定应急处置方案，并将其列入从业人员培训计划开展培训，每半年至少组织从业人员进行事故处置演练一次，使从业人员熟练掌握应急处置程序。</w:t>
      </w:r>
    </w:p>
    <w:p w14:paraId="3C1176F9">
      <w:pPr>
        <w:pStyle w:val="12"/>
        <w:widowControl/>
        <w:numPr>
          <w:ilvl w:val="0"/>
          <w:numId w:val="10"/>
        </w:numPr>
        <w:tabs>
          <w:tab w:val="left" w:pos="840"/>
          <w:tab w:val="clear" w:pos="210"/>
        </w:tabs>
        <w:ind w:left="0" w:leftChars="0" w:firstLine="480" w:firstLineChars="200"/>
        <w:rPr>
          <w:b w:val="0"/>
          <w:color w:val="auto"/>
        </w:rPr>
      </w:pPr>
      <w:r>
        <w:rPr>
          <w:color w:val="auto"/>
        </w:rPr>
        <w:t>所有工作人员均应办理人事档案及进行体检，提供采购人认可的医疗单位出具的健康证明。严格遵守有关保密的各项规定。服务人员平均年龄不超过50岁，服务员不得超过35岁并且要求形象好、气质佳、文化素质高，随着人员的不断更替应逐渐向年轻化过渡。</w:t>
      </w:r>
    </w:p>
    <w:p w14:paraId="1DECF950">
      <w:pPr>
        <w:pStyle w:val="12"/>
        <w:widowControl/>
        <w:numPr>
          <w:ilvl w:val="0"/>
          <w:numId w:val="10"/>
        </w:numPr>
        <w:tabs>
          <w:tab w:val="left" w:pos="840"/>
          <w:tab w:val="clear" w:pos="210"/>
        </w:tabs>
        <w:ind w:left="0" w:leftChars="0" w:firstLine="480" w:firstLineChars="200"/>
        <w:rPr>
          <w:b w:val="0"/>
          <w:color w:val="auto"/>
        </w:rPr>
      </w:pPr>
      <w:r>
        <w:rPr>
          <w:color w:val="auto"/>
        </w:rPr>
        <w:t>餐厅主管：具备餐饮管理经验和餐饮专业知识。组织管理科学有序，协调处理能力强，确保餐厅服务细致高效运行。</w:t>
      </w:r>
    </w:p>
    <w:p w14:paraId="4F3085F6">
      <w:pPr>
        <w:pStyle w:val="12"/>
        <w:widowControl/>
        <w:numPr>
          <w:ilvl w:val="0"/>
          <w:numId w:val="10"/>
        </w:numPr>
        <w:tabs>
          <w:tab w:val="left" w:pos="840"/>
          <w:tab w:val="clear" w:pos="210"/>
        </w:tabs>
        <w:ind w:left="0" w:leftChars="0" w:firstLine="480" w:firstLineChars="200"/>
        <w:rPr>
          <w:b w:val="0"/>
          <w:color w:val="auto"/>
        </w:rPr>
      </w:pPr>
      <w:r>
        <w:rPr>
          <w:color w:val="auto"/>
        </w:rPr>
        <w:t>厨师长（含厨师）：具有厨师长工作经验。具有组织管理协调能力，掌握四种类型以上风味菜肴的制作并能够推陈出新，能保证厨房的正常运转，熟知成本核算与控制。</w:t>
      </w:r>
    </w:p>
    <w:p w14:paraId="6B3EFABC">
      <w:pPr>
        <w:pStyle w:val="12"/>
        <w:widowControl/>
        <w:numPr>
          <w:ilvl w:val="0"/>
          <w:numId w:val="7"/>
        </w:numPr>
        <w:tabs>
          <w:tab w:val="left" w:pos="1320"/>
          <w:tab w:val="clear" w:pos="210"/>
        </w:tabs>
        <w:ind w:left="0" w:leftChars="0" w:firstLine="480" w:firstLineChars="200"/>
        <w:rPr>
          <w:b w:val="0"/>
        </w:rPr>
      </w:pPr>
      <w:r>
        <w:t>管理服务要求</w:t>
      </w:r>
    </w:p>
    <w:p w14:paraId="09CBA480">
      <w:pPr>
        <w:pStyle w:val="12"/>
        <w:widowControl/>
        <w:numPr>
          <w:ilvl w:val="0"/>
          <w:numId w:val="11"/>
        </w:numPr>
        <w:tabs>
          <w:tab w:val="left" w:pos="780"/>
          <w:tab w:val="clear" w:pos="210"/>
        </w:tabs>
        <w:ind w:left="0" w:leftChars="0" w:firstLine="480" w:firstLineChars="200"/>
        <w:rPr>
          <w:b w:val="0"/>
          <w:color w:val="auto"/>
        </w:rPr>
      </w:pPr>
      <w:r>
        <w:rPr>
          <w:color w:val="auto"/>
        </w:rPr>
        <w:t>制定科学、合理、切实可行的餐饮管理服务方案。</w:t>
      </w:r>
    </w:p>
    <w:p w14:paraId="74272D03">
      <w:pPr>
        <w:pStyle w:val="12"/>
        <w:widowControl/>
        <w:numPr>
          <w:ilvl w:val="0"/>
          <w:numId w:val="11"/>
        </w:numPr>
        <w:tabs>
          <w:tab w:val="left" w:pos="780"/>
          <w:tab w:val="clear" w:pos="210"/>
        </w:tabs>
        <w:ind w:left="0" w:leftChars="0" w:firstLine="480" w:firstLineChars="200"/>
        <w:rPr>
          <w:b w:val="0"/>
          <w:color w:val="auto"/>
        </w:rPr>
      </w:pPr>
      <w:r>
        <w:rPr>
          <w:color w:val="auto"/>
        </w:rPr>
        <w:t>餐厅管理以满足工作人员的餐饮需求为基础，通过建立有序运转的服务支持体系，提供优质、高效、经济、便捷的餐饮服务和人性化管理，与高标准的整体要求相适应，杜绝食品浪费。</w:t>
      </w:r>
    </w:p>
    <w:p w14:paraId="337466F7">
      <w:pPr>
        <w:pStyle w:val="12"/>
        <w:widowControl/>
        <w:numPr>
          <w:ilvl w:val="0"/>
          <w:numId w:val="11"/>
        </w:numPr>
        <w:tabs>
          <w:tab w:val="left" w:pos="780"/>
          <w:tab w:val="clear" w:pos="210"/>
        </w:tabs>
        <w:ind w:left="0" w:leftChars="0" w:firstLine="480" w:firstLineChars="200"/>
        <w:rPr>
          <w:b w:val="0"/>
          <w:color w:val="auto"/>
        </w:rPr>
      </w:pPr>
      <w:r>
        <w:rPr>
          <w:color w:val="auto"/>
        </w:rPr>
        <w:t>建立食品卫生管理制度、原材料管理制度，设备管理制度、岗位职责、工作规程、工作计划、考核标准。甲方负责对餐厅工作进行监督和管控，随时对餐厅的卫生、管理、服务情况进行检查，并建立和实施测评考评制度，对餐厅的各项工作进行监督和考核。</w:t>
      </w:r>
    </w:p>
    <w:p w14:paraId="0ACDF649">
      <w:pPr>
        <w:pStyle w:val="12"/>
        <w:widowControl/>
        <w:numPr>
          <w:ilvl w:val="0"/>
          <w:numId w:val="11"/>
        </w:numPr>
        <w:tabs>
          <w:tab w:val="left" w:pos="780"/>
          <w:tab w:val="clear" w:pos="210"/>
        </w:tabs>
        <w:ind w:left="0" w:leftChars="0" w:firstLine="480" w:firstLineChars="200"/>
        <w:rPr>
          <w:b w:val="0"/>
          <w:color w:val="auto"/>
        </w:rPr>
      </w:pPr>
      <w:r>
        <w:rPr>
          <w:color w:val="auto"/>
        </w:rPr>
        <w:t>乙方每月向甲方提供餐厅供应的原材料和消耗品等的账目，每月上报经营分析报表，以便甲方监督。</w:t>
      </w:r>
    </w:p>
    <w:p w14:paraId="32CF5D56">
      <w:pPr>
        <w:pStyle w:val="12"/>
        <w:widowControl/>
        <w:numPr>
          <w:ilvl w:val="0"/>
          <w:numId w:val="11"/>
        </w:numPr>
        <w:tabs>
          <w:tab w:val="left" w:pos="780"/>
          <w:tab w:val="clear" w:pos="210"/>
        </w:tabs>
        <w:ind w:left="0" w:leftChars="0" w:firstLine="480" w:firstLineChars="200"/>
        <w:rPr>
          <w:b w:val="0"/>
          <w:color w:val="auto"/>
        </w:rPr>
      </w:pPr>
      <w:r>
        <w:rPr>
          <w:color w:val="auto"/>
        </w:rPr>
        <w:t>具备开发各种饭菜花色品种的能力，丰富菜品花式品种，满足不同层次就餐者要求。营养搭配科学合理，满足营养需求。根据季节变化，不断创新出品和推出特色菜及点心。</w:t>
      </w:r>
    </w:p>
    <w:p w14:paraId="38BEBB76">
      <w:pPr>
        <w:pStyle w:val="12"/>
        <w:widowControl/>
        <w:numPr>
          <w:ilvl w:val="0"/>
          <w:numId w:val="11"/>
        </w:numPr>
        <w:tabs>
          <w:tab w:val="left" w:pos="780"/>
          <w:tab w:val="clear" w:pos="210"/>
        </w:tabs>
        <w:ind w:left="0" w:leftChars="0" w:firstLine="480" w:firstLineChars="200"/>
        <w:rPr>
          <w:b w:val="0"/>
          <w:color w:val="auto"/>
        </w:rPr>
      </w:pPr>
      <w:r>
        <w:rPr>
          <w:color w:val="auto"/>
        </w:rPr>
        <w:t>为保证设备设施的正常运行，餐饮部各级人员配合工程部做好对设备设施的日常维护和保养，正确使用与维护厨房设备，加强日常管理，防止事故发生，严禁人为损坏。每日检查炉灶、冰箱、煤气、案台、电源等的运转情况和卫生情况，发现故障及时与工程部联系进行维修，避免因设备故障而造成影响餐饮供应问题的发生。</w:t>
      </w:r>
    </w:p>
    <w:p w14:paraId="1478A822">
      <w:pPr>
        <w:pStyle w:val="12"/>
        <w:widowControl/>
        <w:numPr>
          <w:ilvl w:val="0"/>
          <w:numId w:val="11"/>
        </w:numPr>
        <w:tabs>
          <w:tab w:val="left" w:pos="780"/>
          <w:tab w:val="clear" w:pos="210"/>
        </w:tabs>
        <w:ind w:left="0" w:leftChars="0" w:firstLine="480" w:firstLineChars="200"/>
        <w:rPr>
          <w:b w:val="0"/>
          <w:color w:val="auto"/>
        </w:rPr>
      </w:pPr>
      <w:r>
        <w:rPr>
          <w:color w:val="auto"/>
        </w:rPr>
        <w:t>有完善的餐饮炊具清洗、消毒标准和程序，保持餐饮炊具清洁卫生；控制好餐饮炊具破损率及洗涤剂、清洁物品的消耗量。包间、粗加工区、冷藏室、厨房、面点间、洗碗间等各部位卫生责任明确，做到无污迹，无油渍，无异味。物品摆放有序、规范，建立并执行卫生包干制及每日检查制度。</w:t>
      </w:r>
    </w:p>
    <w:p w14:paraId="4867FB39">
      <w:pPr>
        <w:pStyle w:val="12"/>
        <w:widowControl/>
        <w:numPr>
          <w:ilvl w:val="0"/>
          <w:numId w:val="11"/>
        </w:numPr>
        <w:tabs>
          <w:tab w:val="left" w:pos="780"/>
          <w:tab w:val="clear" w:pos="210"/>
        </w:tabs>
        <w:ind w:left="0" w:leftChars="0" w:firstLine="480" w:firstLineChars="200"/>
        <w:rPr>
          <w:b w:val="0"/>
          <w:color w:val="auto"/>
        </w:rPr>
      </w:pPr>
      <w:r>
        <w:rPr>
          <w:color w:val="auto"/>
        </w:rPr>
        <w:t>餐饮服务做到主动、热情、耐心、周到。</w:t>
      </w:r>
    </w:p>
    <w:p w14:paraId="7A42D728">
      <w:pPr>
        <w:pStyle w:val="12"/>
        <w:widowControl/>
        <w:numPr>
          <w:ilvl w:val="0"/>
          <w:numId w:val="11"/>
        </w:numPr>
        <w:tabs>
          <w:tab w:val="left" w:pos="780"/>
          <w:tab w:val="clear" w:pos="210"/>
        </w:tabs>
        <w:ind w:left="0" w:leftChars="0" w:firstLine="480" w:firstLineChars="200"/>
        <w:rPr>
          <w:b w:val="0"/>
          <w:color w:val="auto"/>
        </w:rPr>
      </w:pPr>
      <w:r>
        <w:rPr>
          <w:color w:val="auto"/>
        </w:rPr>
        <w:t>贯彻执行食品卫生制度，抓好卫生和安全工作，加强安全保卫、防火教育，确保餐厅厨房安全。认真记录并保持仓库规定的温度、湿度，做到防火、防潮、防霉变。严格按照相关食品卫生要求采购食品原材料，严禁采购腐败变质食品和过期食品。</w:t>
      </w:r>
    </w:p>
    <w:p w14:paraId="0088344D">
      <w:pPr>
        <w:pStyle w:val="12"/>
        <w:widowControl/>
        <w:numPr>
          <w:ilvl w:val="0"/>
          <w:numId w:val="11"/>
        </w:numPr>
        <w:tabs>
          <w:tab w:val="left" w:pos="780"/>
          <w:tab w:val="clear" w:pos="210"/>
        </w:tabs>
        <w:ind w:left="0" w:leftChars="0" w:firstLine="480" w:firstLineChars="200"/>
        <w:rPr>
          <w:b w:val="0"/>
          <w:color w:val="auto"/>
        </w:rPr>
      </w:pPr>
      <w:r>
        <w:rPr>
          <w:color w:val="auto"/>
        </w:rPr>
        <w:t>乙方负责办理食堂员工的健康证，保证炊管人员持证上岗，所有服务人员必须有《健康证》，并定期体检。</w:t>
      </w:r>
    </w:p>
    <w:p w14:paraId="2E376DBE">
      <w:pPr>
        <w:pStyle w:val="12"/>
        <w:widowControl/>
        <w:numPr>
          <w:ilvl w:val="0"/>
          <w:numId w:val="11"/>
        </w:numPr>
        <w:tabs>
          <w:tab w:val="left" w:pos="780"/>
          <w:tab w:val="clear" w:pos="210"/>
        </w:tabs>
        <w:ind w:left="0" w:leftChars="0" w:firstLine="480" w:firstLineChars="200"/>
        <w:rPr>
          <w:b w:val="0"/>
          <w:color w:val="auto"/>
        </w:rPr>
      </w:pPr>
      <w:r>
        <w:rPr>
          <w:color w:val="auto"/>
        </w:rPr>
        <w:t>发生投诉，虚心听取意见或建议，经核实后，及时整改，争取投诉者的谅解。</w:t>
      </w:r>
    </w:p>
    <w:p w14:paraId="0ABEAB74">
      <w:pPr>
        <w:pStyle w:val="12"/>
        <w:widowControl/>
        <w:numPr>
          <w:ilvl w:val="0"/>
          <w:numId w:val="7"/>
        </w:numPr>
        <w:tabs>
          <w:tab w:val="left" w:pos="1320"/>
          <w:tab w:val="clear" w:pos="210"/>
        </w:tabs>
        <w:ind w:left="0" w:leftChars="0" w:firstLine="480" w:firstLineChars="200"/>
        <w:rPr>
          <w:b w:val="0"/>
        </w:rPr>
      </w:pPr>
      <w:r>
        <w:t>卫生服务标准</w:t>
      </w:r>
    </w:p>
    <w:tbl>
      <w:tblPr>
        <w:tblStyle w:val="1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Layout w:type="autofit"/>
        <w:tblCellMar>
          <w:top w:w="0" w:type="dxa"/>
          <w:left w:w="0" w:type="dxa"/>
          <w:bottom w:w="0" w:type="dxa"/>
          <w:right w:w="0" w:type="dxa"/>
        </w:tblCellMar>
      </w:tblPr>
      <w:tblGrid>
        <w:gridCol w:w="1357"/>
        <w:gridCol w:w="6967"/>
      </w:tblGrid>
      <w:tr w14:paraId="3386C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restart"/>
            <w:tcBorders>
              <w:top w:val="single" w:color="000000" w:sz="6" w:space="0"/>
              <w:left w:val="single" w:color="000000" w:sz="6" w:space="0"/>
              <w:bottom w:val="single" w:color="000000" w:sz="6" w:space="0"/>
              <w:right w:val="single" w:color="000000" w:sz="6" w:space="0"/>
            </w:tcBorders>
            <w:shd w:val="clear" w:color="auto" w:fill="FFFFFF"/>
            <w:vAlign w:val="center"/>
          </w:tcPr>
          <w:p w14:paraId="1781DE76">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保温</w:t>
            </w:r>
            <w:r>
              <w:rPr>
                <w:rFonts w:hint="eastAsia" w:ascii="方正仿宋_GB2312" w:hAnsi="方正仿宋_GB2312" w:eastAsia="方正仿宋_GB2312" w:cs="方正仿宋_GB2312"/>
                <w:color w:val="auto"/>
                <w:sz w:val="24"/>
                <w:szCs w:val="24"/>
                <w:highlight w:val="none"/>
                <w:lang w:val="en-US" w:eastAsia="zh-CN"/>
              </w:rPr>
              <w:t>餐</w:t>
            </w:r>
            <w:r>
              <w:rPr>
                <w:rFonts w:hint="eastAsia" w:ascii="方正仿宋_GB2312" w:hAnsi="方正仿宋_GB2312" w:eastAsia="方正仿宋_GB2312" w:cs="方正仿宋_GB2312"/>
                <w:color w:val="auto"/>
                <w:sz w:val="24"/>
                <w:szCs w:val="24"/>
                <w:highlight w:val="none"/>
              </w:rPr>
              <w:t>车</w:t>
            </w:r>
          </w:p>
        </w:tc>
        <w:tc>
          <w:tcPr>
            <w:tcW w:w="4184" w:type="pct"/>
            <w:tcBorders>
              <w:top w:val="single" w:color="000000" w:sz="6" w:space="0"/>
              <w:left w:val="nil"/>
              <w:bottom w:val="single" w:color="000000" w:sz="6" w:space="0"/>
              <w:right w:val="single" w:color="000000" w:sz="6" w:space="0"/>
            </w:tcBorders>
            <w:shd w:val="clear" w:color="auto" w:fill="FFFFFF"/>
            <w:vAlign w:val="center"/>
          </w:tcPr>
          <w:p w14:paraId="7913C4EB">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1.开餐前</w:t>
            </w:r>
            <w:r>
              <w:rPr>
                <w:rFonts w:hint="eastAsia" w:ascii="方正仿宋_GB2312" w:hAnsi="方正仿宋_GB2312" w:eastAsia="方正仿宋_GB2312" w:cs="方正仿宋_GB2312"/>
                <w:color w:val="auto"/>
                <w:sz w:val="24"/>
                <w:szCs w:val="24"/>
                <w:highlight w:val="none"/>
                <w:lang w:val="en-US" w:eastAsia="zh-CN"/>
              </w:rPr>
              <w:t>餐车</w:t>
            </w:r>
            <w:r>
              <w:rPr>
                <w:rFonts w:hint="eastAsia" w:ascii="方正仿宋_GB2312" w:hAnsi="方正仿宋_GB2312" w:eastAsia="方正仿宋_GB2312" w:cs="方正仿宋_GB2312"/>
                <w:color w:val="auto"/>
                <w:sz w:val="24"/>
                <w:szCs w:val="24"/>
                <w:highlight w:val="none"/>
              </w:rPr>
              <w:t>冬季水温达80℃，其他季节略低。</w:t>
            </w:r>
          </w:p>
        </w:tc>
      </w:tr>
      <w:tr w14:paraId="13B1C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24E770E4">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25B4A744">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w:t>
            </w:r>
            <w:r>
              <w:rPr>
                <w:rFonts w:hint="eastAsia" w:ascii="方正仿宋_GB2312" w:hAnsi="方正仿宋_GB2312" w:eastAsia="方正仿宋_GB2312" w:cs="方正仿宋_GB2312"/>
                <w:color w:val="auto"/>
                <w:sz w:val="24"/>
                <w:szCs w:val="24"/>
                <w:highlight w:val="none"/>
                <w:lang w:eastAsia="zh-CN"/>
              </w:rPr>
              <w:t>餐</w:t>
            </w:r>
            <w:r>
              <w:rPr>
                <w:rFonts w:hint="eastAsia" w:ascii="方正仿宋_GB2312" w:hAnsi="方正仿宋_GB2312" w:eastAsia="方正仿宋_GB2312" w:cs="方正仿宋_GB2312"/>
                <w:color w:val="auto"/>
                <w:sz w:val="24"/>
                <w:szCs w:val="24"/>
                <w:highlight w:val="none"/>
              </w:rPr>
              <w:t>车内水质新鲜无异物异味、油垢。</w:t>
            </w:r>
          </w:p>
        </w:tc>
      </w:tr>
      <w:tr w14:paraId="765FF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0453497B">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477B1D78">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w:t>
            </w:r>
            <w:r>
              <w:rPr>
                <w:rFonts w:hint="eastAsia" w:ascii="方正仿宋_GB2312" w:hAnsi="方正仿宋_GB2312" w:eastAsia="方正仿宋_GB2312" w:cs="方正仿宋_GB2312"/>
                <w:color w:val="auto"/>
                <w:sz w:val="24"/>
                <w:szCs w:val="24"/>
                <w:highlight w:val="none"/>
                <w:lang w:eastAsia="zh-CN"/>
              </w:rPr>
              <w:t>餐</w:t>
            </w:r>
            <w:r>
              <w:rPr>
                <w:rFonts w:hint="eastAsia" w:ascii="方正仿宋_GB2312" w:hAnsi="方正仿宋_GB2312" w:eastAsia="方正仿宋_GB2312" w:cs="方正仿宋_GB2312"/>
                <w:color w:val="auto"/>
                <w:sz w:val="24"/>
                <w:szCs w:val="24"/>
                <w:highlight w:val="none"/>
              </w:rPr>
              <w:t>车外表面明亮干净，无手印、水渍油渍。</w:t>
            </w:r>
          </w:p>
        </w:tc>
      </w:tr>
      <w:tr w14:paraId="5F3B0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76591BEE">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58E76E21">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w:t>
            </w:r>
            <w:r>
              <w:rPr>
                <w:rFonts w:hint="eastAsia" w:ascii="方正仿宋_GB2312" w:hAnsi="方正仿宋_GB2312" w:eastAsia="方正仿宋_GB2312" w:cs="方正仿宋_GB2312"/>
                <w:color w:val="auto"/>
                <w:sz w:val="24"/>
                <w:szCs w:val="24"/>
                <w:highlight w:val="none"/>
                <w:lang w:eastAsia="zh-CN"/>
              </w:rPr>
              <w:t>餐</w:t>
            </w:r>
            <w:r>
              <w:rPr>
                <w:rFonts w:hint="eastAsia" w:ascii="方正仿宋_GB2312" w:hAnsi="方正仿宋_GB2312" w:eastAsia="方正仿宋_GB2312" w:cs="方正仿宋_GB2312"/>
                <w:color w:val="auto"/>
                <w:sz w:val="24"/>
                <w:szCs w:val="24"/>
                <w:highlight w:val="none"/>
              </w:rPr>
              <w:t>车底部明亮，无残留物。</w:t>
            </w:r>
          </w:p>
        </w:tc>
      </w:tr>
      <w:tr w14:paraId="601E5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vMerge w:val="restart"/>
            <w:tcBorders>
              <w:top w:val="nil"/>
              <w:left w:val="single" w:color="000000" w:sz="6" w:space="0"/>
              <w:bottom w:val="single" w:color="000000" w:sz="6" w:space="0"/>
              <w:right w:val="single" w:color="000000" w:sz="6" w:space="0"/>
            </w:tcBorders>
            <w:shd w:val="clear" w:color="auto" w:fill="FFFFFF"/>
            <w:vAlign w:val="center"/>
          </w:tcPr>
          <w:p w14:paraId="670F76DC">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置物架</w:t>
            </w:r>
          </w:p>
        </w:tc>
        <w:tc>
          <w:tcPr>
            <w:tcW w:w="4184" w:type="pct"/>
            <w:tcBorders>
              <w:top w:val="nil"/>
              <w:left w:val="nil"/>
              <w:bottom w:val="single" w:color="000000" w:sz="6" w:space="0"/>
              <w:right w:val="single" w:color="000000" w:sz="6" w:space="0"/>
            </w:tcBorders>
            <w:shd w:val="clear" w:color="auto" w:fill="FFFFFF"/>
            <w:vAlign w:val="center"/>
          </w:tcPr>
          <w:p w14:paraId="2D75EF18">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1.无水渍油渍，洁净明亮。</w:t>
            </w:r>
          </w:p>
        </w:tc>
      </w:tr>
      <w:tr w14:paraId="34684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15567FCD">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02986FF4">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2.食物放置应有遮盖。</w:t>
            </w:r>
          </w:p>
        </w:tc>
      </w:tr>
      <w:tr w14:paraId="2DDDC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5000" w:type="pct"/>
            <w:gridSpan w:val="2"/>
            <w:tcBorders>
              <w:top w:val="nil"/>
              <w:left w:val="single" w:color="000000" w:sz="6" w:space="0"/>
              <w:bottom w:val="single" w:color="000000" w:sz="6" w:space="0"/>
              <w:right w:val="single" w:color="000000" w:sz="6" w:space="0"/>
            </w:tcBorders>
            <w:shd w:val="clear" w:color="auto" w:fill="FFFFFF"/>
            <w:vAlign w:val="center"/>
          </w:tcPr>
          <w:p w14:paraId="7A1B4B11">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大厅卫生要求</w:t>
            </w:r>
          </w:p>
        </w:tc>
      </w:tr>
      <w:tr w14:paraId="7BC0C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3BD76365">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桌子</w:t>
            </w:r>
          </w:p>
        </w:tc>
        <w:tc>
          <w:tcPr>
            <w:tcW w:w="4184" w:type="pct"/>
            <w:tcBorders>
              <w:top w:val="single" w:color="000000" w:sz="6" w:space="0"/>
              <w:left w:val="nil"/>
              <w:bottom w:val="single" w:color="000000" w:sz="6" w:space="0"/>
              <w:right w:val="single" w:color="000000" w:sz="6" w:space="0"/>
            </w:tcBorders>
            <w:shd w:val="clear" w:color="auto" w:fill="FFFFFF"/>
            <w:vAlign w:val="center"/>
          </w:tcPr>
          <w:p w14:paraId="2C6DEE61">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桌脚平稳不晃动、桌面无水渍</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油渍、杂物调味品</w:t>
            </w:r>
            <w:r>
              <w:rPr>
                <w:rFonts w:hint="eastAsia" w:ascii="方正仿宋_GB2312" w:hAnsi="方正仿宋_GB2312" w:eastAsia="方正仿宋_GB2312" w:cs="方正仿宋_GB2312"/>
                <w:color w:val="auto"/>
                <w:sz w:val="24"/>
                <w:szCs w:val="24"/>
                <w:highlight w:val="none"/>
                <w:lang w:eastAsia="zh-CN"/>
              </w:rPr>
              <w:t>摆放</w:t>
            </w:r>
            <w:r>
              <w:rPr>
                <w:rFonts w:hint="eastAsia" w:ascii="方正仿宋_GB2312" w:hAnsi="方正仿宋_GB2312" w:eastAsia="方正仿宋_GB2312" w:cs="方正仿宋_GB2312"/>
                <w:color w:val="auto"/>
                <w:sz w:val="24"/>
                <w:szCs w:val="24"/>
                <w:highlight w:val="none"/>
              </w:rPr>
              <w:t>整齐。</w:t>
            </w:r>
          </w:p>
        </w:tc>
      </w:tr>
      <w:tr w14:paraId="69584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748BD4AC">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椅子</w:t>
            </w:r>
          </w:p>
        </w:tc>
        <w:tc>
          <w:tcPr>
            <w:tcW w:w="4184" w:type="pct"/>
            <w:tcBorders>
              <w:top w:val="nil"/>
              <w:left w:val="nil"/>
              <w:bottom w:val="single" w:color="000000" w:sz="6" w:space="0"/>
              <w:right w:val="single" w:color="000000" w:sz="6" w:space="0"/>
            </w:tcBorders>
            <w:shd w:val="clear" w:color="auto" w:fill="FFFFFF"/>
            <w:vAlign w:val="center"/>
          </w:tcPr>
          <w:p w14:paraId="6B6353DE">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椅腿平稳不摇晃，无污迹</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油渍、尘土。</w:t>
            </w:r>
          </w:p>
        </w:tc>
      </w:tr>
      <w:tr w14:paraId="6DFF0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76F226C8">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备餐柜</w:t>
            </w:r>
          </w:p>
        </w:tc>
        <w:tc>
          <w:tcPr>
            <w:tcW w:w="4184" w:type="pct"/>
            <w:tcBorders>
              <w:top w:val="nil"/>
              <w:left w:val="nil"/>
              <w:bottom w:val="single" w:color="000000" w:sz="6" w:space="0"/>
              <w:right w:val="single" w:color="000000" w:sz="6" w:space="0"/>
            </w:tcBorders>
            <w:shd w:val="clear" w:color="auto" w:fill="FFFFFF"/>
            <w:vAlign w:val="center"/>
          </w:tcPr>
          <w:p w14:paraId="53BF7D6F">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柜面无水渍</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油渍，柜内物品摆放整齐。</w:t>
            </w:r>
          </w:p>
        </w:tc>
      </w:tr>
      <w:tr w14:paraId="3FDE5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44DF1574">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收餐车</w:t>
            </w:r>
          </w:p>
        </w:tc>
        <w:tc>
          <w:tcPr>
            <w:tcW w:w="4184" w:type="pct"/>
            <w:tcBorders>
              <w:top w:val="nil"/>
              <w:left w:val="nil"/>
              <w:bottom w:val="single" w:color="000000" w:sz="6" w:space="0"/>
              <w:right w:val="single" w:color="000000" w:sz="6" w:space="0"/>
            </w:tcBorders>
            <w:shd w:val="clear" w:color="auto" w:fill="FFFFFF"/>
            <w:vAlign w:val="center"/>
          </w:tcPr>
          <w:p w14:paraId="2446B167">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表面干净无水渍</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油渍；餐车滑轮滚动自如。</w:t>
            </w:r>
          </w:p>
        </w:tc>
      </w:tr>
      <w:tr w14:paraId="2531C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restart"/>
            <w:tcBorders>
              <w:top w:val="nil"/>
              <w:left w:val="single" w:color="000000" w:sz="6" w:space="0"/>
              <w:bottom w:val="single" w:color="000000" w:sz="6" w:space="0"/>
              <w:right w:val="single" w:color="000000" w:sz="6" w:space="0"/>
            </w:tcBorders>
            <w:shd w:val="clear" w:color="auto" w:fill="FFFFFF"/>
            <w:vAlign w:val="center"/>
          </w:tcPr>
          <w:p w14:paraId="0BF200D8">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厅面卫生</w:t>
            </w:r>
          </w:p>
        </w:tc>
        <w:tc>
          <w:tcPr>
            <w:tcW w:w="4184" w:type="pct"/>
            <w:tcBorders>
              <w:top w:val="nil"/>
              <w:left w:val="nil"/>
              <w:bottom w:val="single" w:color="000000" w:sz="6" w:space="0"/>
              <w:right w:val="single" w:color="000000" w:sz="6" w:space="0"/>
            </w:tcBorders>
            <w:shd w:val="clear" w:color="auto" w:fill="FFFFFF"/>
            <w:vAlign w:val="center"/>
          </w:tcPr>
          <w:p w14:paraId="0D829EC3">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1.地面：无水渍</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油渍、无杂物、无死角、整体光亮洁净。</w:t>
            </w:r>
          </w:p>
        </w:tc>
      </w:tr>
      <w:tr w14:paraId="0390F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1C4881A0">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219CD8E3">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2.踢脚线：无污迹、尘土。</w:t>
            </w:r>
          </w:p>
        </w:tc>
      </w:tr>
      <w:tr w14:paraId="68D03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2F4451D0">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31AC4DFE">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3.消火栓柜：无尘土、手印，灭火器干净</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无污迹。</w:t>
            </w:r>
          </w:p>
        </w:tc>
      </w:tr>
      <w:tr w14:paraId="67BEF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2B9869B7">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6A2EB6C4">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4.电视：无尘土、手印，</w:t>
            </w:r>
            <w:r>
              <w:rPr>
                <w:rFonts w:hint="eastAsia" w:ascii="方正仿宋_GB2312" w:hAnsi="方正仿宋_GB2312" w:eastAsia="方正仿宋_GB2312" w:cs="方正仿宋_GB2312"/>
                <w:color w:val="auto"/>
                <w:sz w:val="24"/>
                <w:szCs w:val="24"/>
                <w:highlight w:val="none"/>
                <w:lang w:val="en-US" w:eastAsia="zh-CN"/>
              </w:rPr>
              <w:t>闭</w:t>
            </w:r>
            <w:r>
              <w:rPr>
                <w:rFonts w:hint="eastAsia" w:ascii="方正仿宋_GB2312" w:hAnsi="方正仿宋_GB2312" w:eastAsia="方正仿宋_GB2312" w:cs="方正仿宋_GB2312"/>
                <w:color w:val="auto"/>
                <w:sz w:val="24"/>
                <w:szCs w:val="24"/>
                <w:highlight w:val="none"/>
              </w:rPr>
              <w:t>餐</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lang w:val="en-US" w:eastAsia="zh-CN"/>
              </w:rPr>
              <w:t>关闭电源</w:t>
            </w:r>
            <w:r>
              <w:rPr>
                <w:rFonts w:hint="eastAsia" w:ascii="方正仿宋_GB2312" w:hAnsi="方正仿宋_GB2312" w:eastAsia="方正仿宋_GB2312" w:cs="方正仿宋_GB2312"/>
                <w:color w:val="auto"/>
                <w:sz w:val="24"/>
                <w:szCs w:val="24"/>
                <w:highlight w:val="none"/>
              </w:rPr>
              <w:t>。</w:t>
            </w:r>
          </w:p>
        </w:tc>
      </w:tr>
      <w:tr w14:paraId="387FB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7B59E806">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6BA40845">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5.窗台：干净清洁，无尘土、杂物。</w:t>
            </w:r>
          </w:p>
        </w:tc>
      </w:tr>
      <w:tr w14:paraId="70C45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750E733E">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6C8C1E67">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6.玻璃：明亮干净，无尘土、雨雪痕迹。</w:t>
            </w:r>
          </w:p>
        </w:tc>
      </w:tr>
      <w:tr w14:paraId="24955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6D34A134">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7BC51ACC">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lang w:eastAsia="zh-CN"/>
              </w:rPr>
            </w:pPr>
            <w:r>
              <w:rPr>
                <w:rFonts w:hint="eastAsia" w:ascii="方正仿宋_GB2312" w:hAnsi="方正仿宋_GB2312" w:eastAsia="方正仿宋_GB2312" w:cs="方正仿宋_GB2312"/>
                <w:color w:val="auto"/>
                <w:sz w:val="24"/>
                <w:szCs w:val="24"/>
                <w:highlight w:val="none"/>
              </w:rPr>
              <w:t>7.窗帘：干净整洁，无污迹，绑绳同一高度</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垂直高低整齐一致，熨烫平整干净</w:t>
            </w:r>
            <w:r>
              <w:rPr>
                <w:rFonts w:hint="eastAsia" w:ascii="方正仿宋_GB2312" w:hAnsi="方正仿宋_GB2312" w:eastAsia="方正仿宋_GB2312" w:cs="方正仿宋_GB2312"/>
                <w:color w:val="auto"/>
                <w:sz w:val="24"/>
                <w:szCs w:val="24"/>
                <w:highlight w:val="none"/>
                <w:lang w:eastAsia="zh-CN"/>
              </w:rPr>
              <w:t>。</w:t>
            </w:r>
          </w:p>
        </w:tc>
      </w:tr>
      <w:tr w14:paraId="5111D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1FED9EF9">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42D1EFAA">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8.花卉：无尘土、枯叶、污渍</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水渍，盆壁干净，盆内无烟头、无杂物。</w:t>
            </w:r>
          </w:p>
        </w:tc>
      </w:tr>
      <w:tr w14:paraId="1F7BE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5000" w:type="pct"/>
            <w:gridSpan w:val="2"/>
            <w:tcBorders>
              <w:top w:val="nil"/>
              <w:left w:val="single" w:color="000000" w:sz="6" w:space="0"/>
              <w:bottom w:val="single" w:color="000000" w:sz="6" w:space="0"/>
              <w:right w:val="single" w:color="000000" w:sz="6" w:space="0"/>
            </w:tcBorders>
            <w:shd w:val="clear" w:color="auto" w:fill="FFFFFF"/>
            <w:vAlign w:val="center"/>
          </w:tcPr>
          <w:p w14:paraId="2D090E16">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公共区域卫生要求</w:t>
            </w:r>
          </w:p>
        </w:tc>
      </w:tr>
      <w:tr w14:paraId="27E24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66CA7629">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地面</w:t>
            </w:r>
          </w:p>
        </w:tc>
        <w:tc>
          <w:tcPr>
            <w:tcW w:w="4184" w:type="pct"/>
            <w:tcBorders>
              <w:top w:val="single" w:color="000000" w:sz="6" w:space="0"/>
              <w:left w:val="nil"/>
              <w:bottom w:val="single" w:color="000000" w:sz="6" w:space="0"/>
              <w:right w:val="single" w:color="000000" w:sz="6" w:space="0"/>
            </w:tcBorders>
            <w:shd w:val="clear" w:color="auto" w:fill="FFFFFF"/>
            <w:vAlign w:val="center"/>
          </w:tcPr>
          <w:p w14:paraId="5932EC73">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地砖及其接缝干净、明亮、无污迹、杂物。</w:t>
            </w:r>
          </w:p>
        </w:tc>
      </w:tr>
      <w:tr w14:paraId="63B4A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2B76A219">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地毯</w:t>
            </w:r>
          </w:p>
        </w:tc>
        <w:tc>
          <w:tcPr>
            <w:tcW w:w="4184" w:type="pct"/>
            <w:tcBorders>
              <w:top w:val="nil"/>
              <w:left w:val="nil"/>
              <w:bottom w:val="single" w:color="000000" w:sz="6" w:space="0"/>
              <w:right w:val="single" w:color="000000" w:sz="6" w:space="0"/>
            </w:tcBorders>
            <w:shd w:val="clear" w:color="auto" w:fill="FFFFFF"/>
            <w:vAlign w:val="center"/>
          </w:tcPr>
          <w:p w14:paraId="1E52DD0F">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每日进行吸尘，定期清洗</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无杂迹、</w:t>
            </w:r>
            <w:r>
              <w:rPr>
                <w:rFonts w:hint="eastAsia" w:ascii="方正仿宋_GB2312" w:hAnsi="方正仿宋_GB2312" w:eastAsia="方正仿宋_GB2312" w:cs="方正仿宋_GB2312"/>
                <w:color w:val="auto"/>
                <w:sz w:val="24"/>
                <w:szCs w:val="24"/>
                <w:highlight w:val="none"/>
                <w:lang w:val="en-US" w:eastAsia="zh-CN"/>
              </w:rPr>
              <w:t>无</w:t>
            </w:r>
            <w:r>
              <w:rPr>
                <w:rFonts w:hint="eastAsia" w:ascii="方正仿宋_GB2312" w:hAnsi="方正仿宋_GB2312" w:eastAsia="方正仿宋_GB2312" w:cs="方正仿宋_GB2312"/>
                <w:color w:val="auto"/>
                <w:sz w:val="24"/>
                <w:szCs w:val="24"/>
                <w:highlight w:val="none"/>
              </w:rPr>
              <w:t>污</w:t>
            </w:r>
            <w:r>
              <w:rPr>
                <w:rFonts w:hint="eastAsia" w:ascii="方正仿宋_GB2312" w:hAnsi="方正仿宋_GB2312" w:eastAsia="方正仿宋_GB2312" w:cs="方正仿宋_GB2312"/>
                <w:color w:val="auto"/>
                <w:sz w:val="24"/>
                <w:szCs w:val="24"/>
                <w:highlight w:val="none"/>
                <w:lang w:val="en-US" w:eastAsia="zh-CN"/>
              </w:rPr>
              <w:t>渍、无油渍</w:t>
            </w:r>
            <w:r>
              <w:rPr>
                <w:rFonts w:hint="eastAsia" w:ascii="方正仿宋_GB2312" w:hAnsi="方正仿宋_GB2312" w:eastAsia="方正仿宋_GB2312" w:cs="方正仿宋_GB2312"/>
                <w:color w:val="auto"/>
                <w:sz w:val="24"/>
                <w:szCs w:val="24"/>
                <w:highlight w:val="none"/>
              </w:rPr>
              <w:t>。</w:t>
            </w:r>
          </w:p>
        </w:tc>
      </w:tr>
      <w:tr w14:paraId="457D8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2814302F">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墙面</w:t>
            </w:r>
          </w:p>
        </w:tc>
        <w:tc>
          <w:tcPr>
            <w:tcW w:w="4184" w:type="pct"/>
            <w:tcBorders>
              <w:top w:val="nil"/>
              <w:left w:val="nil"/>
              <w:bottom w:val="single" w:color="000000" w:sz="6" w:space="0"/>
              <w:right w:val="single" w:color="000000" w:sz="6" w:space="0"/>
            </w:tcBorders>
            <w:shd w:val="clear" w:color="auto" w:fill="FFFFFF"/>
            <w:vAlign w:val="center"/>
          </w:tcPr>
          <w:p w14:paraId="5A962DF0">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瓷砖干净明亮，洁净无尘，无破损。</w:t>
            </w:r>
          </w:p>
        </w:tc>
      </w:tr>
      <w:tr w14:paraId="55182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4288CC83">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窗帘</w:t>
            </w:r>
          </w:p>
        </w:tc>
        <w:tc>
          <w:tcPr>
            <w:tcW w:w="4184" w:type="pct"/>
            <w:tcBorders>
              <w:top w:val="nil"/>
              <w:left w:val="nil"/>
              <w:bottom w:val="single" w:color="000000" w:sz="6" w:space="0"/>
              <w:right w:val="single" w:color="000000" w:sz="6" w:space="0"/>
            </w:tcBorders>
            <w:shd w:val="clear" w:color="auto" w:fill="FFFFFF"/>
            <w:vAlign w:val="center"/>
          </w:tcPr>
          <w:p w14:paraId="39275AD4">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干净整洁，无污迹，绑绳同一高度。垂直高低整齐一致，熨烫平整干净</w:t>
            </w:r>
          </w:p>
        </w:tc>
      </w:tr>
      <w:tr w14:paraId="3291E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52C77A7A">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玻璃</w:t>
            </w:r>
          </w:p>
        </w:tc>
        <w:tc>
          <w:tcPr>
            <w:tcW w:w="4184" w:type="pct"/>
            <w:tcBorders>
              <w:top w:val="nil"/>
              <w:left w:val="nil"/>
              <w:bottom w:val="single" w:color="000000" w:sz="6" w:space="0"/>
              <w:right w:val="single" w:color="000000" w:sz="6" w:space="0"/>
            </w:tcBorders>
            <w:shd w:val="clear" w:color="auto" w:fill="FFFFFF"/>
            <w:vAlign w:val="center"/>
          </w:tcPr>
          <w:p w14:paraId="555F667D">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洁净明亮，无手印、污迹、尘土。</w:t>
            </w:r>
          </w:p>
        </w:tc>
      </w:tr>
      <w:tr w14:paraId="0AF9B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643CCC38">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垃圾桶</w:t>
            </w:r>
          </w:p>
        </w:tc>
        <w:tc>
          <w:tcPr>
            <w:tcW w:w="4184" w:type="pct"/>
            <w:tcBorders>
              <w:top w:val="nil"/>
              <w:left w:val="nil"/>
              <w:bottom w:val="single" w:color="000000" w:sz="6" w:space="0"/>
              <w:right w:val="single" w:color="000000" w:sz="6" w:space="0"/>
            </w:tcBorders>
            <w:shd w:val="clear" w:color="auto" w:fill="FFFFFF"/>
            <w:vAlign w:val="center"/>
          </w:tcPr>
          <w:p w14:paraId="64C9CD68">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内外清洗，放置规范，表面干净。</w:t>
            </w:r>
          </w:p>
        </w:tc>
      </w:tr>
      <w:tr w14:paraId="1E958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1F777D64">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灯具</w:t>
            </w:r>
          </w:p>
        </w:tc>
        <w:tc>
          <w:tcPr>
            <w:tcW w:w="4184" w:type="pct"/>
            <w:tcBorders>
              <w:top w:val="nil"/>
              <w:left w:val="nil"/>
              <w:bottom w:val="single" w:color="000000" w:sz="6" w:space="0"/>
              <w:right w:val="single" w:color="000000" w:sz="6" w:space="0"/>
            </w:tcBorders>
            <w:shd w:val="clear" w:color="auto" w:fill="FFFFFF"/>
            <w:vAlign w:val="center"/>
          </w:tcPr>
          <w:p w14:paraId="55A66657">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所有灯泡能够正常使用</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表面干净。</w:t>
            </w:r>
          </w:p>
        </w:tc>
      </w:tr>
      <w:tr w14:paraId="70710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0F32BBD9">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花卉</w:t>
            </w:r>
          </w:p>
        </w:tc>
        <w:tc>
          <w:tcPr>
            <w:tcW w:w="4184" w:type="pct"/>
            <w:tcBorders>
              <w:top w:val="nil"/>
              <w:left w:val="nil"/>
              <w:bottom w:val="single" w:color="000000" w:sz="6" w:space="0"/>
              <w:right w:val="single" w:color="000000" w:sz="6" w:space="0"/>
            </w:tcBorders>
            <w:shd w:val="clear" w:color="auto" w:fill="FFFFFF"/>
            <w:vAlign w:val="center"/>
          </w:tcPr>
          <w:p w14:paraId="581449E2">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无尘土、枯叶、污渍，盆壁干净，盆内无烟头、无杂物。</w:t>
            </w:r>
          </w:p>
        </w:tc>
      </w:tr>
      <w:tr w14:paraId="4BA11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5000" w:type="pct"/>
            <w:gridSpan w:val="2"/>
            <w:tcBorders>
              <w:top w:val="nil"/>
              <w:left w:val="single" w:color="000000" w:sz="6" w:space="0"/>
              <w:bottom w:val="single" w:color="000000" w:sz="6" w:space="0"/>
              <w:right w:val="single" w:color="000000" w:sz="6" w:space="0"/>
            </w:tcBorders>
            <w:shd w:val="clear" w:color="auto" w:fill="FFFFFF"/>
            <w:vAlign w:val="center"/>
          </w:tcPr>
          <w:p w14:paraId="104660B7">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门庭卫生要求</w:t>
            </w:r>
          </w:p>
        </w:tc>
      </w:tr>
      <w:tr w14:paraId="444E7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3F59FC7A">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地面</w:t>
            </w:r>
          </w:p>
        </w:tc>
        <w:tc>
          <w:tcPr>
            <w:tcW w:w="4184" w:type="pct"/>
            <w:tcBorders>
              <w:top w:val="single" w:color="000000" w:sz="6" w:space="0"/>
              <w:left w:val="nil"/>
              <w:bottom w:val="single" w:color="000000" w:sz="6" w:space="0"/>
              <w:right w:val="single" w:color="000000" w:sz="6" w:space="0"/>
            </w:tcBorders>
            <w:shd w:val="clear" w:color="auto" w:fill="FFFFFF"/>
            <w:vAlign w:val="center"/>
          </w:tcPr>
          <w:p w14:paraId="04C129AC">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地砖及其接缝干净、明亮、无污迹、杂物。</w:t>
            </w:r>
          </w:p>
        </w:tc>
      </w:tr>
      <w:tr w14:paraId="3A1AF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28FC4B71">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摆放物</w:t>
            </w:r>
          </w:p>
        </w:tc>
        <w:tc>
          <w:tcPr>
            <w:tcW w:w="4184" w:type="pct"/>
            <w:tcBorders>
              <w:top w:val="nil"/>
              <w:left w:val="nil"/>
              <w:bottom w:val="single" w:color="000000" w:sz="6" w:space="0"/>
              <w:right w:val="single" w:color="000000" w:sz="6" w:space="0"/>
            </w:tcBorders>
            <w:shd w:val="clear" w:color="auto" w:fill="FFFFFF"/>
            <w:vAlign w:val="center"/>
          </w:tcPr>
          <w:p w14:paraId="05DA5DE9">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电视机无尘土、手印；花卉无尘土、枯叶、污渍，盆壁干净，盆内无烟头、无杂物。</w:t>
            </w:r>
          </w:p>
        </w:tc>
      </w:tr>
      <w:tr w14:paraId="23CD7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0983177F">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墙壁</w:t>
            </w:r>
          </w:p>
        </w:tc>
        <w:tc>
          <w:tcPr>
            <w:tcW w:w="4184" w:type="pct"/>
            <w:tcBorders>
              <w:top w:val="nil"/>
              <w:left w:val="nil"/>
              <w:bottom w:val="single" w:color="000000" w:sz="6" w:space="0"/>
              <w:right w:val="single" w:color="000000" w:sz="6" w:space="0"/>
            </w:tcBorders>
            <w:shd w:val="clear" w:color="auto" w:fill="FFFFFF"/>
            <w:vAlign w:val="center"/>
          </w:tcPr>
          <w:p w14:paraId="4A163D39">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干净明亮，无手印、污迹、水迹。</w:t>
            </w:r>
          </w:p>
        </w:tc>
      </w:tr>
      <w:tr w14:paraId="030D8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521101CB">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玻璃</w:t>
            </w:r>
          </w:p>
        </w:tc>
        <w:tc>
          <w:tcPr>
            <w:tcW w:w="4184" w:type="pct"/>
            <w:tcBorders>
              <w:top w:val="nil"/>
              <w:left w:val="nil"/>
              <w:bottom w:val="single" w:color="000000" w:sz="6" w:space="0"/>
              <w:right w:val="single" w:color="000000" w:sz="6" w:space="0"/>
            </w:tcBorders>
            <w:shd w:val="clear" w:color="auto" w:fill="FFFFFF"/>
            <w:vAlign w:val="center"/>
          </w:tcPr>
          <w:p w14:paraId="7D1FD9A5">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洁净明亮，无尘土、手印、水迹、油渍。</w:t>
            </w:r>
          </w:p>
        </w:tc>
      </w:tr>
      <w:tr w14:paraId="7A661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0EF8D750">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门框</w:t>
            </w:r>
          </w:p>
        </w:tc>
        <w:tc>
          <w:tcPr>
            <w:tcW w:w="4184" w:type="pct"/>
            <w:tcBorders>
              <w:top w:val="nil"/>
              <w:left w:val="nil"/>
              <w:bottom w:val="single" w:color="000000" w:sz="6" w:space="0"/>
              <w:right w:val="single" w:color="000000" w:sz="6" w:space="0"/>
            </w:tcBorders>
            <w:shd w:val="clear" w:color="auto" w:fill="FFFFFF"/>
            <w:vAlign w:val="center"/>
          </w:tcPr>
          <w:p w14:paraId="23B16B35">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干净明亮，无手印、尘土、水迹。</w:t>
            </w:r>
          </w:p>
        </w:tc>
      </w:tr>
      <w:tr w14:paraId="064E7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36EDC93C">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垃圾桶</w:t>
            </w:r>
          </w:p>
        </w:tc>
        <w:tc>
          <w:tcPr>
            <w:tcW w:w="4184" w:type="pct"/>
            <w:tcBorders>
              <w:top w:val="nil"/>
              <w:left w:val="nil"/>
              <w:bottom w:val="single" w:color="000000" w:sz="6" w:space="0"/>
              <w:right w:val="single" w:color="000000" w:sz="6" w:space="0"/>
            </w:tcBorders>
            <w:shd w:val="clear" w:color="auto" w:fill="FFFFFF"/>
            <w:vAlign w:val="center"/>
          </w:tcPr>
          <w:p w14:paraId="34A0AA56">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外部要干净明亮，无痰迹，纸屑、水渍，表面石子要隔日清洗。</w:t>
            </w:r>
          </w:p>
        </w:tc>
      </w:tr>
      <w:tr w14:paraId="715A9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1A0DD725">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窗台</w:t>
            </w:r>
          </w:p>
        </w:tc>
        <w:tc>
          <w:tcPr>
            <w:tcW w:w="4184" w:type="pct"/>
            <w:tcBorders>
              <w:top w:val="nil"/>
              <w:left w:val="nil"/>
              <w:bottom w:val="single" w:color="000000" w:sz="6" w:space="0"/>
              <w:right w:val="single" w:color="000000" w:sz="6" w:space="0"/>
            </w:tcBorders>
            <w:shd w:val="clear" w:color="auto" w:fill="FFFFFF"/>
            <w:vAlign w:val="center"/>
          </w:tcPr>
          <w:p w14:paraId="4FAFA9BA">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干净清洁，无尘土、杂物。</w:t>
            </w:r>
          </w:p>
        </w:tc>
      </w:tr>
      <w:tr w14:paraId="5AC0E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5F9C12A9">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地垫</w:t>
            </w:r>
          </w:p>
        </w:tc>
        <w:tc>
          <w:tcPr>
            <w:tcW w:w="4184" w:type="pct"/>
            <w:tcBorders>
              <w:top w:val="nil"/>
              <w:left w:val="nil"/>
              <w:bottom w:val="single" w:color="000000" w:sz="6" w:space="0"/>
              <w:right w:val="single" w:color="000000" w:sz="6" w:space="0"/>
            </w:tcBorders>
            <w:shd w:val="clear" w:color="auto" w:fill="FFFFFF"/>
            <w:vAlign w:val="center"/>
          </w:tcPr>
          <w:p w14:paraId="3F0ACA6C">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无尘土、杂物，需保持物件</w:t>
            </w:r>
            <w:r>
              <w:rPr>
                <w:rFonts w:hint="eastAsia" w:ascii="方正仿宋_GB2312" w:hAnsi="方正仿宋_GB2312" w:eastAsia="方正仿宋_GB2312" w:cs="方正仿宋_GB2312"/>
                <w:color w:val="auto"/>
                <w:sz w:val="24"/>
                <w:szCs w:val="24"/>
                <w:highlight w:val="none"/>
                <w:lang w:val="en-US" w:eastAsia="zh-CN"/>
              </w:rPr>
              <w:t>原有的</w:t>
            </w:r>
            <w:r>
              <w:rPr>
                <w:rFonts w:hint="eastAsia" w:ascii="方正仿宋_GB2312" w:hAnsi="方正仿宋_GB2312" w:eastAsia="方正仿宋_GB2312" w:cs="方正仿宋_GB2312"/>
                <w:color w:val="auto"/>
                <w:sz w:val="24"/>
                <w:szCs w:val="24"/>
                <w:highlight w:val="none"/>
              </w:rPr>
              <w:t>本色。</w:t>
            </w:r>
          </w:p>
        </w:tc>
      </w:tr>
      <w:tr w14:paraId="24EC2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5000" w:type="pct"/>
            <w:gridSpan w:val="2"/>
            <w:tcBorders>
              <w:top w:val="nil"/>
              <w:left w:val="single" w:color="000000" w:sz="6" w:space="0"/>
              <w:bottom w:val="single" w:color="000000" w:sz="6" w:space="0"/>
              <w:right w:val="single" w:color="000000" w:sz="6" w:space="0"/>
            </w:tcBorders>
            <w:shd w:val="clear" w:color="auto" w:fill="FFFFFF"/>
            <w:vAlign w:val="center"/>
          </w:tcPr>
          <w:p w14:paraId="40C7A51B">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仪容仪表要求</w:t>
            </w:r>
          </w:p>
        </w:tc>
      </w:tr>
      <w:tr w14:paraId="7BE50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5D900459">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头发</w:t>
            </w:r>
          </w:p>
        </w:tc>
        <w:tc>
          <w:tcPr>
            <w:tcW w:w="4184" w:type="pct"/>
            <w:tcBorders>
              <w:top w:val="single" w:color="000000" w:sz="6" w:space="0"/>
              <w:left w:val="nil"/>
              <w:bottom w:val="single" w:color="000000" w:sz="6" w:space="0"/>
              <w:right w:val="single" w:color="000000" w:sz="6" w:space="0"/>
            </w:tcBorders>
            <w:shd w:val="clear" w:color="auto" w:fill="FFFFFF"/>
            <w:vAlign w:val="center"/>
          </w:tcPr>
          <w:p w14:paraId="1F4D62AE">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女：长发：盘扎整齐、无头屑</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短发</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不染怪异颜色，刘海不遮眉。</w:t>
            </w:r>
          </w:p>
          <w:p w14:paraId="0744687A">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男：不留长发、鬓角</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无头屑、油迹、怪味。</w:t>
            </w:r>
          </w:p>
        </w:tc>
      </w:tr>
      <w:tr w14:paraId="249F7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77493BC5">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面容修饰</w:t>
            </w:r>
          </w:p>
        </w:tc>
        <w:tc>
          <w:tcPr>
            <w:tcW w:w="4184" w:type="pct"/>
            <w:tcBorders>
              <w:top w:val="nil"/>
              <w:left w:val="nil"/>
              <w:bottom w:val="single" w:color="000000" w:sz="6" w:space="0"/>
              <w:right w:val="single" w:color="000000" w:sz="6" w:space="0"/>
            </w:tcBorders>
            <w:shd w:val="clear" w:color="auto" w:fill="FFFFFF"/>
            <w:vAlign w:val="center"/>
          </w:tcPr>
          <w:p w14:paraId="7538E3B9">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女：化淡妆、清爽干净，不佩戴耳环。</w:t>
            </w:r>
          </w:p>
          <w:p w14:paraId="134883C3">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男：不留胡须，面容干净。</w:t>
            </w:r>
          </w:p>
          <w:p w14:paraId="7BAA7CF9">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lang w:eastAsia="zh-CN"/>
              </w:rPr>
            </w:pPr>
            <w:r>
              <w:rPr>
                <w:rFonts w:hint="eastAsia" w:ascii="方正仿宋_GB2312" w:hAnsi="方正仿宋_GB2312" w:eastAsia="方正仿宋_GB2312" w:cs="方正仿宋_GB2312"/>
                <w:color w:val="auto"/>
                <w:sz w:val="24"/>
                <w:szCs w:val="24"/>
                <w:highlight w:val="none"/>
              </w:rPr>
              <w:t>工作人员应佩戴口罩</w:t>
            </w:r>
            <w:r>
              <w:rPr>
                <w:rFonts w:hint="eastAsia" w:ascii="方正仿宋_GB2312" w:hAnsi="方正仿宋_GB2312" w:eastAsia="方正仿宋_GB2312" w:cs="方正仿宋_GB2312"/>
                <w:color w:val="auto"/>
                <w:sz w:val="24"/>
                <w:szCs w:val="24"/>
                <w:highlight w:val="none"/>
                <w:lang w:eastAsia="zh-CN"/>
              </w:rPr>
              <w:t>。</w:t>
            </w:r>
          </w:p>
        </w:tc>
      </w:tr>
      <w:tr w14:paraId="49748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07C3D161">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手</w:t>
            </w:r>
          </w:p>
        </w:tc>
        <w:tc>
          <w:tcPr>
            <w:tcW w:w="4184" w:type="pct"/>
            <w:tcBorders>
              <w:top w:val="nil"/>
              <w:left w:val="nil"/>
              <w:bottom w:val="single" w:color="000000" w:sz="6" w:space="0"/>
              <w:right w:val="single" w:color="000000" w:sz="6" w:space="0"/>
            </w:tcBorders>
            <w:shd w:val="clear" w:color="auto" w:fill="FFFFFF"/>
            <w:vAlign w:val="center"/>
          </w:tcPr>
          <w:p w14:paraId="27D900F0">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lang w:eastAsia="zh-CN"/>
              </w:rPr>
            </w:pPr>
            <w:r>
              <w:rPr>
                <w:rFonts w:hint="eastAsia" w:ascii="方正仿宋_GB2312" w:hAnsi="方正仿宋_GB2312" w:eastAsia="方正仿宋_GB2312" w:cs="方正仿宋_GB2312"/>
                <w:color w:val="auto"/>
                <w:sz w:val="24"/>
                <w:szCs w:val="24"/>
                <w:highlight w:val="none"/>
              </w:rPr>
              <w:t>无论男女：不</w:t>
            </w:r>
            <w:r>
              <w:rPr>
                <w:rFonts w:hint="eastAsia" w:ascii="方正仿宋_GB2312" w:hAnsi="方正仿宋_GB2312" w:eastAsia="方正仿宋_GB2312" w:cs="方正仿宋_GB2312"/>
                <w:color w:val="auto"/>
                <w:sz w:val="24"/>
                <w:szCs w:val="24"/>
                <w:highlight w:val="none"/>
                <w:lang w:eastAsia="zh-CN"/>
              </w:rPr>
              <w:t>戴</w:t>
            </w:r>
            <w:r>
              <w:rPr>
                <w:rFonts w:hint="eastAsia" w:ascii="方正仿宋_GB2312" w:hAnsi="方正仿宋_GB2312" w:eastAsia="方正仿宋_GB2312" w:cs="方正仿宋_GB2312"/>
                <w:color w:val="auto"/>
                <w:sz w:val="24"/>
                <w:szCs w:val="24"/>
                <w:highlight w:val="none"/>
              </w:rPr>
              <w:t>饰物、指甲剪短，不允许涂指甲油，指甲缝不允许有黑垢</w:t>
            </w:r>
            <w:r>
              <w:rPr>
                <w:rFonts w:hint="eastAsia" w:ascii="方正仿宋_GB2312" w:hAnsi="方正仿宋_GB2312" w:eastAsia="方正仿宋_GB2312" w:cs="方正仿宋_GB2312"/>
                <w:color w:val="auto"/>
                <w:sz w:val="24"/>
                <w:szCs w:val="24"/>
                <w:highlight w:val="none"/>
                <w:lang w:eastAsia="zh-CN"/>
              </w:rPr>
              <w:t>。</w:t>
            </w:r>
          </w:p>
        </w:tc>
      </w:tr>
      <w:tr w14:paraId="21B57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3F99423A">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工牌</w:t>
            </w:r>
          </w:p>
        </w:tc>
        <w:tc>
          <w:tcPr>
            <w:tcW w:w="4184" w:type="pct"/>
            <w:tcBorders>
              <w:top w:val="nil"/>
              <w:left w:val="nil"/>
              <w:bottom w:val="single" w:color="000000" w:sz="6" w:space="0"/>
              <w:right w:val="single" w:color="000000" w:sz="6" w:space="0"/>
            </w:tcBorders>
            <w:shd w:val="clear" w:color="auto" w:fill="FFFFFF"/>
            <w:vAlign w:val="center"/>
          </w:tcPr>
          <w:p w14:paraId="17082B53">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字迹清楚，表面干净，在规定位置佩戴（一般在衣服左侧第二粒扣子处）。</w:t>
            </w:r>
          </w:p>
        </w:tc>
      </w:tr>
      <w:tr w14:paraId="049D5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541B7137">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工作服</w:t>
            </w:r>
          </w:p>
        </w:tc>
        <w:tc>
          <w:tcPr>
            <w:tcW w:w="4184" w:type="pct"/>
            <w:tcBorders>
              <w:top w:val="nil"/>
              <w:left w:val="nil"/>
              <w:bottom w:val="single" w:color="000000" w:sz="6" w:space="0"/>
              <w:right w:val="single" w:color="000000" w:sz="6" w:space="0"/>
            </w:tcBorders>
            <w:shd w:val="clear" w:color="auto" w:fill="FFFFFF"/>
            <w:vAlign w:val="center"/>
          </w:tcPr>
          <w:p w14:paraId="13CD777A">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着工衣、工鞋、工帽。工作服无褶皱、破洞、毛边、拉丝、</w:t>
            </w:r>
            <w:r>
              <w:rPr>
                <w:rFonts w:hint="eastAsia" w:ascii="方正仿宋_GB2312" w:hAnsi="方正仿宋_GB2312" w:eastAsia="方正仿宋_GB2312" w:cs="方正仿宋_GB2312"/>
                <w:color w:val="auto"/>
                <w:sz w:val="24"/>
                <w:szCs w:val="24"/>
                <w:highlight w:val="none"/>
                <w:lang w:eastAsia="zh-CN"/>
              </w:rPr>
              <w:t>褪色</w:t>
            </w:r>
            <w:r>
              <w:rPr>
                <w:rFonts w:hint="eastAsia" w:ascii="方正仿宋_GB2312" w:hAnsi="方正仿宋_GB2312" w:eastAsia="方正仿宋_GB2312" w:cs="方正仿宋_GB2312"/>
                <w:color w:val="auto"/>
                <w:sz w:val="24"/>
                <w:szCs w:val="24"/>
                <w:highlight w:val="none"/>
              </w:rPr>
              <w:t>等，应熨烫平整。</w:t>
            </w:r>
          </w:p>
        </w:tc>
      </w:tr>
      <w:tr w14:paraId="4F848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42AF372D">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鞋袜</w:t>
            </w:r>
          </w:p>
        </w:tc>
        <w:tc>
          <w:tcPr>
            <w:tcW w:w="4184" w:type="pct"/>
            <w:tcBorders>
              <w:top w:val="nil"/>
              <w:left w:val="nil"/>
              <w:bottom w:val="single" w:color="000000" w:sz="6" w:space="0"/>
              <w:right w:val="single" w:color="000000" w:sz="6" w:space="0"/>
            </w:tcBorders>
            <w:shd w:val="clear" w:color="auto" w:fill="FFFFFF"/>
            <w:vAlign w:val="center"/>
          </w:tcPr>
          <w:p w14:paraId="215F8755">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一律黑色鞋子，袜子颜色应与鞋子同色。</w:t>
            </w:r>
          </w:p>
        </w:tc>
      </w:tr>
      <w:tr w14:paraId="0BDA5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5000" w:type="pct"/>
            <w:gridSpan w:val="2"/>
            <w:tcBorders>
              <w:top w:val="nil"/>
              <w:left w:val="single" w:color="000000" w:sz="6" w:space="0"/>
              <w:bottom w:val="single" w:color="000000" w:sz="6" w:space="0"/>
              <w:right w:val="single" w:color="000000" w:sz="6" w:space="0"/>
            </w:tcBorders>
            <w:shd w:val="clear" w:color="auto" w:fill="FFFFFF"/>
            <w:vAlign w:val="center"/>
          </w:tcPr>
          <w:p w14:paraId="7FDFB0E7">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厨房卫生要求</w:t>
            </w:r>
          </w:p>
        </w:tc>
      </w:tr>
      <w:tr w14:paraId="7A6F8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restart"/>
            <w:tcBorders>
              <w:top w:val="nil"/>
              <w:left w:val="single" w:color="000000" w:sz="6" w:space="0"/>
              <w:bottom w:val="single" w:color="000000" w:sz="6" w:space="0"/>
              <w:right w:val="single" w:color="000000" w:sz="6" w:space="0"/>
            </w:tcBorders>
            <w:shd w:val="clear" w:color="auto" w:fill="FFFFFF"/>
            <w:vAlign w:val="center"/>
          </w:tcPr>
          <w:p w14:paraId="3E29B193">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冰柜</w:t>
            </w:r>
          </w:p>
        </w:tc>
        <w:tc>
          <w:tcPr>
            <w:tcW w:w="4184" w:type="pct"/>
            <w:tcBorders>
              <w:top w:val="single" w:color="000000" w:sz="6" w:space="0"/>
              <w:left w:val="nil"/>
              <w:bottom w:val="single" w:color="000000" w:sz="6" w:space="0"/>
              <w:right w:val="single" w:color="000000" w:sz="6" w:space="0"/>
            </w:tcBorders>
            <w:shd w:val="clear" w:color="auto" w:fill="FFFFFF"/>
            <w:vAlign w:val="center"/>
          </w:tcPr>
          <w:p w14:paraId="4222C452">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1.温度：冷冻零下15℃—零下20℃；冷链：0℃-4℃。</w:t>
            </w:r>
          </w:p>
        </w:tc>
      </w:tr>
      <w:tr w14:paraId="763C7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6DB29BB8">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5E74BB04">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2.除霜：定期除霜；结霜厚度不超过1㎝，及时清理，无油渍、无污渍、无残渣、无渣味。</w:t>
            </w:r>
          </w:p>
        </w:tc>
      </w:tr>
      <w:tr w14:paraId="4D813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1D51A673">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3E6B0D6F">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3.食物保存：生熟分存，不允许混放，重下轻上。</w:t>
            </w:r>
          </w:p>
        </w:tc>
      </w:tr>
      <w:tr w14:paraId="3E4F0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507AB50B">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2DE7CEBA">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4.使用方法：先进先出。</w:t>
            </w:r>
          </w:p>
        </w:tc>
      </w:tr>
      <w:tr w14:paraId="3D571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183958DC">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314CE78A">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5.表面：无油污、无</w:t>
            </w:r>
            <w:r>
              <w:rPr>
                <w:rFonts w:hint="eastAsia" w:ascii="方正仿宋_GB2312" w:hAnsi="方正仿宋_GB2312" w:eastAsia="方正仿宋_GB2312" w:cs="方正仿宋_GB2312"/>
                <w:color w:val="auto"/>
                <w:sz w:val="24"/>
                <w:szCs w:val="24"/>
                <w:highlight w:val="none"/>
                <w:lang w:eastAsia="zh-CN"/>
              </w:rPr>
              <w:t>水渍</w:t>
            </w:r>
            <w:r>
              <w:rPr>
                <w:rFonts w:hint="eastAsia" w:ascii="方正仿宋_GB2312" w:hAnsi="方正仿宋_GB2312" w:eastAsia="方正仿宋_GB2312" w:cs="方正仿宋_GB2312"/>
                <w:color w:val="auto"/>
                <w:sz w:val="24"/>
                <w:szCs w:val="24"/>
                <w:highlight w:val="none"/>
              </w:rPr>
              <w:t>脏痕。</w:t>
            </w:r>
          </w:p>
        </w:tc>
      </w:tr>
      <w:tr w14:paraId="2E36D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1513ED1C">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41448C29">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6.维护保养：随时检查，安全使用，保证正常运转。</w:t>
            </w:r>
          </w:p>
        </w:tc>
      </w:tr>
      <w:tr w14:paraId="491A4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restart"/>
            <w:tcBorders>
              <w:top w:val="nil"/>
              <w:left w:val="single" w:color="000000" w:sz="6" w:space="0"/>
              <w:bottom w:val="single" w:color="000000" w:sz="6" w:space="0"/>
              <w:right w:val="single" w:color="000000" w:sz="6" w:space="0"/>
            </w:tcBorders>
            <w:shd w:val="clear" w:color="auto" w:fill="FFFFFF"/>
            <w:vAlign w:val="center"/>
          </w:tcPr>
          <w:p w14:paraId="688A8E9B">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各种设备</w:t>
            </w:r>
          </w:p>
        </w:tc>
        <w:tc>
          <w:tcPr>
            <w:tcW w:w="4184" w:type="pct"/>
            <w:tcBorders>
              <w:top w:val="nil"/>
              <w:left w:val="nil"/>
              <w:bottom w:val="single" w:color="000000" w:sz="6" w:space="0"/>
              <w:right w:val="single" w:color="000000" w:sz="6" w:space="0"/>
            </w:tcBorders>
            <w:shd w:val="clear" w:color="auto" w:fill="FFFFFF"/>
            <w:vAlign w:val="center"/>
          </w:tcPr>
          <w:p w14:paraId="5D220EF6">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1.每日使用后认真清洗，做到无残渣、污渍。</w:t>
            </w:r>
          </w:p>
        </w:tc>
      </w:tr>
      <w:tr w14:paraId="10E54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746ECB3D">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0CEB06E6">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2.内外光亮，无异味。</w:t>
            </w:r>
          </w:p>
        </w:tc>
      </w:tr>
      <w:tr w14:paraId="7CF89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36410435">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0F189E6C">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3.注意保养，正常使用。</w:t>
            </w:r>
          </w:p>
        </w:tc>
      </w:tr>
      <w:tr w14:paraId="536B5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restart"/>
            <w:tcBorders>
              <w:top w:val="nil"/>
              <w:left w:val="single" w:color="000000" w:sz="6" w:space="0"/>
              <w:bottom w:val="single" w:color="000000" w:sz="6" w:space="0"/>
              <w:right w:val="single" w:color="000000" w:sz="6" w:space="0"/>
            </w:tcBorders>
            <w:shd w:val="clear" w:color="auto" w:fill="FFFFFF"/>
            <w:vAlign w:val="center"/>
          </w:tcPr>
          <w:p w14:paraId="17AFE909">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操作台</w:t>
            </w:r>
          </w:p>
        </w:tc>
        <w:tc>
          <w:tcPr>
            <w:tcW w:w="4184" w:type="pct"/>
            <w:tcBorders>
              <w:top w:val="nil"/>
              <w:left w:val="nil"/>
              <w:bottom w:val="single" w:color="000000" w:sz="6" w:space="0"/>
              <w:right w:val="single" w:color="000000" w:sz="6" w:space="0"/>
            </w:tcBorders>
            <w:shd w:val="clear" w:color="auto" w:fill="FFFFFF"/>
            <w:vAlign w:val="center"/>
          </w:tcPr>
          <w:p w14:paraId="63E1ED3A">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1.摆放有序，各种调味品密封保存。</w:t>
            </w:r>
          </w:p>
        </w:tc>
      </w:tr>
      <w:tr w14:paraId="6E45E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755169FB">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2E8CFB8A">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2.光亮、洁净。</w:t>
            </w:r>
          </w:p>
        </w:tc>
      </w:tr>
      <w:tr w14:paraId="1DF64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3F4770FC">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282E0B14">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3.无杂物。</w:t>
            </w:r>
          </w:p>
        </w:tc>
      </w:tr>
      <w:tr w14:paraId="46DCC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067E298C">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墙面</w:t>
            </w:r>
          </w:p>
        </w:tc>
        <w:tc>
          <w:tcPr>
            <w:tcW w:w="4184" w:type="pct"/>
            <w:tcBorders>
              <w:top w:val="nil"/>
              <w:left w:val="nil"/>
              <w:bottom w:val="single" w:color="000000" w:sz="6" w:space="0"/>
              <w:right w:val="single" w:color="000000" w:sz="6" w:space="0"/>
            </w:tcBorders>
            <w:shd w:val="clear" w:color="auto" w:fill="FFFFFF"/>
            <w:vAlign w:val="center"/>
          </w:tcPr>
          <w:p w14:paraId="0F59C493">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勤洗、勤擦。做到墙面悬挂物整齐、统一、干净。</w:t>
            </w:r>
          </w:p>
        </w:tc>
      </w:tr>
      <w:tr w14:paraId="13036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136086F9">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地面</w:t>
            </w:r>
          </w:p>
        </w:tc>
        <w:tc>
          <w:tcPr>
            <w:tcW w:w="4184" w:type="pct"/>
            <w:tcBorders>
              <w:top w:val="nil"/>
              <w:left w:val="nil"/>
              <w:bottom w:val="single" w:color="000000" w:sz="6" w:space="0"/>
              <w:right w:val="single" w:color="000000" w:sz="6" w:space="0"/>
            </w:tcBorders>
            <w:shd w:val="clear" w:color="auto" w:fill="FFFFFF"/>
            <w:vAlign w:val="center"/>
          </w:tcPr>
          <w:p w14:paraId="644571AD">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无水渍</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油渍</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脏渍、残渣、</w:t>
            </w:r>
            <w:r>
              <w:rPr>
                <w:rFonts w:hint="eastAsia" w:ascii="方正仿宋_GB2312" w:hAnsi="方正仿宋_GB2312" w:eastAsia="方正仿宋_GB2312" w:cs="方正仿宋_GB2312"/>
                <w:color w:val="auto"/>
                <w:sz w:val="24"/>
                <w:szCs w:val="24"/>
                <w:highlight w:val="none"/>
                <w:lang w:val="en-US" w:eastAsia="zh-CN"/>
              </w:rPr>
              <w:t>无</w:t>
            </w:r>
            <w:r>
              <w:rPr>
                <w:rFonts w:hint="eastAsia" w:ascii="方正仿宋_GB2312" w:hAnsi="方正仿宋_GB2312" w:eastAsia="方正仿宋_GB2312" w:cs="方正仿宋_GB2312"/>
                <w:color w:val="auto"/>
                <w:sz w:val="24"/>
                <w:szCs w:val="24"/>
                <w:highlight w:val="none"/>
              </w:rPr>
              <w:t>死角</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摆放物品方便取用。</w:t>
            </w:r>
          </w:p>
        </w:tc>
      </w:tr>
      <w:tr w14:paraId="6639D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4AE5B171">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地沟</w:t>
            </w:r>
          </w:p>
        </w:tc>
        <w:tc>
          <w:tcPr>
            <w:tcW w:w="4184" w:type="pct"/>
            <w:tcBorders>
              <w:top w:val="nil"/>
              <w:left w:val="nil"/>
              <w:bottom w:val="single" w:color="000000" w:sz="6" w:space="0"/>
              <w:right w:val="single" w:color="000000" w:sz="6" w:space="0"/>
            </w:tcBorders>
            <w:shd w:val="clear" w:color="auto" w:fill="FFFFFF"/>
            <w:vAlign w:val="center"/>
          </w:tcPr>
          <w:p w14:paraId="4EFA022F">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每日清洗，保证无异味、残渣。</w:t>
            </w:r>
          </w:p>
        </w:tc>
      </w:tr>
      <w:tr w14:paraId="4D04C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5D1C8050">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水池</w:t>
            </w:r>
          </w:p>
        </w:tc>
        <w:tc>
          <w:tcPr>
            <w:tcW w:w="4184" w:type="pct"/>
            <w:tcBorders>
              <w:top w:val="nil"/>
              <w:left w:val="nil"/>
              <w:bottom w:val="single" w:color="000000" w:sz="6" w:space="0"/>
              <w:right w:val="single" w:color="000000" w:sz="6" w:space="0"/>
            </w:tcBorders>
            <w:shd w:val="clear" w:color="auto" w:fill="FFFFFF"/>
            <w:vAlign w:val="center"/>
          </w:tcPr>
          <w:p w14:paraId="135C94F4">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池内无残渣，</w:t>
            </w:r>
            <w:r>
              <w:rPr>
                <w:rFonts w:hint="eastAsia" w:ascii="方正仿宋_GB2312" w:hAnsi="方正仿宋_GB2312" w:eastAsia="方正仿宋_GB2312" w:cs="方正仿宋_GB2312"/>
                <w:color w:val="auto"/>
                <w:sz w:val="24"/>
                <w:szCs w:val="24"/>
                <w:highlight w:val="none"/>
                <w:lang w:val="en-US" w:eastAsia="zh-CN"/>
              </w:rPr>
              <w:t>无</w:t>
            </w:r>
            <w:r>
              <w:rPr>
                <w:rFonts w:hint="eastAsia" w:ascii="方正仿宋_GB2312" w:hAnsi="方正仿宋_GB2312" w:eastAsia="方正仿宋_GB2312" w:cs="方正仿宋_GB2312"/>
                <w:color w:val="auto"/>
                <w:sz w:val="24"/>
                <w:szCs w:val="24"/>
                <w:highlight w:val="none"/>
              </w:rPr>
              <w:t>油渍</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lang w:val="en-US" w:eastAsia="zh-CN"/>
              </w:rPr>
              <w:t>无</w:t>
            </w:r>
            <w:r>
              <w:rPr>
                <w:rFonts w:hint="eastAsia" w:ascii="方正仿宋_GB2312" w:hAnsi="方正仿宋_GB2312" w:eastAsia="方正仿宋_GB2312" w:cs="方正仿宋_GB2312"/>
                <w:color w:val="auto"/>
                <w:sz w:val="24"/>
                <w:szCs w:val="24"/>
                <w:highlight w:val="none"/>
              </w:rPr>
              <w:t>污渍、地面干净明亮。</w:t>
            </w:r>
          </w:p>
        </w:tc>
      </w:tr>
      <w:tr w14:paraId="488CF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19334E0B">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垃圾桶</w:t>
            </w:r>
          </w:p>
        </w:tc>
        <w:tc>
          <w:tcPr>
            <w:tcW w:w="4184" w:type="pct"/>
            <w:tcBorders>
              <w:top w:val="nil"/>
              <w:left w:val="nil"/>
              <w:bottom w:val="single" w:color="000000" w:sz="6" w:space="0"/>
              <w:right w:val="single" w:color="000000" w:sz="6" w:space="0"/>
            </w:tcBorders>
            <w:shd w:val="clear" w:color="auto" w:fill="FFFFFF"/>
            <w:vAlign w:val="center"/>
          </w:tcPr>
          <w:p w14:paraId="2C0D3945">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lang w:eastAsia="zh-CN"/>
              </w:rPr>
            </w:pPr>
            <w:r>
              <w:rPr>
                <w:rFonts w:hint="eastAsia" w:ascii="方正仿宋_GB2312" w:hAnsi="方正仿宋_GB2312" w:eastAsia="方正仿宋_GB2312" w:cs="方正仿宋_GB2312"/>
                <w:color w:val="auto"/>
                <w:sz w:val="24"/>
                <w:szCs w:val="24"/>
                <w:highlight w:val="none"/>
              </w:rPr>
              <w:t>勤倒、勤洗</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做到内外干净无油迹、污痕、异味</w:t>
            </w:r>
            <w:r>
              <w:rPr>
                <w:rFonts w:hint="eastAsia" w:ascii="方正仿宋_GB2312" w:hAnsi="方正仿宋_GB2312" w:eastAsia="方正仿宋_GB2312" w:cs="方正仿宋_GB2312"/>
                <w:color w:val="auto"/>
                <w:sz w:val="24"/>
                <w:szCs w:val="24"/>
                <w:highlight w:val="none"/>
                <w:lang w:eastAsia="zh-CN"/>
              </w:rPr>
              <w:t>。</w:t>
            </w:r>
          </w:p>
        </w:tc>
      </w:tr>
      <w:tr w14:paraId="22913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5000" w:type="pct"/>
            <w:gridSpan w:val="2"/>
            <w:tcBorders>
              <w:top w:val="nil"/>
              <w:left w:val="single" w:color="000000" w:sz="6" w:space="0"/>
              <w:bottom w:val="single" w:color="000000" w:sz="6" w:space="0"/>
              <w:right w:val="single" w:color="000000" w:sz="6" w:space="0"/>
            </w:tcBorders>
            <w:shd w:val="clear" w:color="auto" w:fill="FFFFFF"/>
            <w:vAlign w:val="center"/>
          </w:tcPr>
          <w:p w14:paraId="407B5484">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lang w:val="en-US" w:eastAsia="zh-CN"/>
              </w:rPr>
              <w:t>宴会</w:t>
            </w:r>
            <w:r>
              <w:rPr>
                <w:rFonts w:hint="eastAsia" w:ascii="方正仿宋_GB2312" w:hAnsi="方正仿宋_GB2312" w:eastAsia="方正仿宋_GB2312" w:cs="方正仿宋_GB2312"/>
                <w:color w:val="auto"/>
                <w:sz w:val="24"/>
                <w:szCs w:val="24"/>
                <w:highlight w:val="none"/>
              </w:rPr>
              <w:t>卫生要求</w:t>
            </w:r>
          </w:p>
        </w:tc>
      </w:tr>
      <w:tr w14:paraId="286D8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restart"/>
            <w:tcBorders>
              <w:top w:val="nil"/>
              <w:left w:val="single" w:color="000000" w:sz="6" w:space="0"/>
              <w:bottom w:val="single" w:color="000000" w:sz="6" w:space="0"/>
              <w:right w:val="single" w:color="000000" w:sz="6" w:space="0"/>
            </w:tcBorders>
            <w:shd w:val="clear" w:color="auto" w:fill="FFFFFF"/>
            <w:vAlign w:val="center"/>
          </w:tcPr>
          <w:p w14:paraId="3A864999">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备餐间</w:t>
            </w:r>
          </w:p>
        </w:tc>
        <w:tc>
          <w:tcPr>
            <w:tcW w:w="4184" w:type="pct"/>
            <w:tcBorders>
              <w:top w:val="single" w:color="000000" w:sz="6" w:space="0"/>
              <w:left w:val="nil"/>
              <w:bottom w:val="single" w:color="000000" w:sz="6" w:space="0"/>
              <w:right w:val="single" w:color="000000" w:sz="6" w:space="0"/>
            </w:tcBorders>
            <w:shd w:val="clear" w:color="auto" w:fill="FFFFFF"/>
            <w:vAlign w:val="center"/>
          </w:tcPr>
          <w:p w14:paraId="5EA8CB2A">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1.台面整齐、无杂物、油迹。</w:t>
            </w:r>
          </w:p>
        </w:tc>
      </w:tr>
      <w:tr w14:paraId="5DD22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7CF48C4E">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00EA2851">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2.地面干净、无水渍、</w:t>
            </w:r>
            <w:r>
              <w:rPr>
                <w:rFonts w:hint="eastAsia" w:ascii="方正仿宋_GB2312" w:hAnsi="方正仿宋_GB2312" w:eastAsia="方正仿宋_GB2312" w:cs="方正仿宋_GB2312"/>
                <w:color w:val="auto"/>
                <w:sz w:val="24"/>
                <w:szCs w:val="24"/>
                <w:highlight w:val="none"/>
                <w:lang w:val="en-US" w:eastAsia="zh-CN"/>
              </w:rPr>
              <w:t>无</w:t>
            </w:r>
            <w:r>
              <w:rPr>
                <w:rFonts w:hint="eastAsia" w:ascii="方正仿宋_GB2312" w:hAnsi="方正仿宋_GB2312" w:eastAsia="方正仿宋_GB2312" w:cs="方正仿宋_GB2312"/>
                <w:color w:val="auto"/>
                <w:sz w:val="24"/>
                <w:szCs w:val="24"/>
                <w:highlight w:val="none"/>
              </w:rPr>
              <w:t>死角。</w:t>
            </w:r>
          </w:p>
        </w:tc>
      </w:tr>
      <w:tr w14:paraId="620D8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35E9E249">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3EC44B5B">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3.柜内外物品摆放整齐。</w:t>
            </w:r>
          </w:p>
        </w:tc>
      </w:tr>
      <w:tr w14:paraId="2ABDD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vMerge w:val="continue"/>
            <w:tcBorders>
              <w:top w:val="nil"/>
              <w:left w:val="single" w:color="000000" w:sz="6" w:space="0"/>
              <w:bottom w:val="single" w:color="000000" w:sz="6" w:space="0"/>
              <w:right w:val="single" w:color="000000" w:sz="6" w:space="0"/>
            </w:tcBorders>
            <w:shd w:val="clear" w:color="auto" w:fill="FFFFFF"/>
            <w:vAlign w:val="center"/>
          </w:tcPr>
          <w:p w14:paraId="6C72C546">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lang w:eastAsia="zh-CN"/>
              </w:rPr>
            </w:pPr>
          </w:p>
        </w:tc>
        <w:tc>
          <w:tcPr>
            <w:tcW w:w="4184" w:type="pct"/>
            <w:tcBorders>
              <w:top w:val="nil"/>
              <w:left w:val="nil"/>
              <w:bottom w:val="single" w:color="000000" w:sz="6" w:space="0"/>
              <w:right w:val="single" w:color="000000" w:sz="6" w:space="0"/>
            </w:tcBorders>
            <w:shd w:val="clear" w:color="auto" w:fill="FFFFFF"/>
            <w:vAlign w:val="center"/>
          </w:tcPr>
          <w:p w14:paraId="0EB69861">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4.用具单独存放。</w:t>
            </w:r>
          </w:p>
        </w:tc>
      </w:tr>
      <w:tr w14:paraId="6E817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CB7B31F">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电视机</w:t>
            </w:r>
          </w:p>
        </w:tc>
        <w:tc>
          <w:tcPr>
            <w:tcW w:w="4184" w:type="pct"/>
            <w:tcBorders>
              <w:top w:val="single" w:color="000000" w:sz="6" w:space="0"/>
              <w:left w:val="nil"/>
              <w:bottom w:val="single" w:color="000000" w:sz="6" w:space="0"/>
              <w:right w:val="single" w:color="000000" w:sz="6" w:space="0"/>
            </w:tcBorders>
            <w:shd w:val="clear" w:color="auto" w:fill="FFFFFF"/>
            <w:vAlign w:val="center"/>
          </w:tcPr>
          <w:p w14:paraId="7B1D3458">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无尘土、毛屑、</w:t>
            </w:r>
            <w:r>
              <w:rPr>
                <w:rFonts w:hint="eastAsia" w:ascii="方正仿宋_GB2312" w:hAnsi="方正仿宋_GB2312" w:eastAsia="方正仿宋_GB2312" w:cs="方正仿宋_GB2312"/>
                <w:color w:val="auto"/>
                <w:sz w:val="24"/>
                <w:szCs w:val="24"/>
                <w:highlight w:val="none"/>
                <w:lang w:val="en-US" w:eastAsia="zh-CN"/>
              </w:rPr>
              <w:t>闭</w:t>
            </w:r>
            <w:r>
              <w:rPr>
                <w:rFonts w:hint="eastAsia" w:ascii="方正仿宋_GB2312" w:hAnsi="方正仿宋_GB2312" w:eastAsia="方正仿宋_GB2312" w:cs="方正仿宋_GB2312"/>
                <w:color w:val="auto"/>
                <w:sz w:val="24"/>
                <w:szCs w:val="24"/>
                <w:highlight w:val="none"/>
              </w:rPr>
              <w:t>餐</w:t>
            </w:r>
            <w:r>
              <w:rPr>
                <w:rFonts w:hint="eastAsia" w:ascii="方正仿宋_GB2312" w:hAnsi="方正仿宋_GB2312" w:eastAsia="方正仿宋_GB2312" w:cs="方正仿宋_GB2312"/>
                <w:color w:val="auto"/>
                <w:sz w:val="24"/>
                <w:szCs w:val="24"/>
                <w:highlight w:val="none"/>
                <w:lang w:val="en-US" w:eastAsia="zh-CN"/>
              </w:rPr>
              <w:t>关闭</w:t>
            </w:r>
            <w:r>
              <w:rPr>
                <w:rFonts w:hint="eastAsia" w:ascii="方正仿宋_GB2312" w:hAnsi="方正仿宋_GB2312" w:eastAsia="方正仿宋_GB2312" w:cs="方正仿宋_GB2312"/>
                <w:color w:val="auto"/>
                <w:sz w:val="24"/>
                <w:szCs w:val="24"/>
                <w:highlight w:val="none"/>
              </w:rPr>
              <w:t>电</w:t>
            </w:r>
            <w:r>
              <w:rPr>
                <w:rFonts w:hint="eastAsia" w:ascii="方正仿宋_GB2312" w:hAnsi="方正仿宋_GB2312" w:eastAsia="方正仿宋_GB2312" w:cs="方正仿宋_GB2312"/>
                <w:color w:val="auto"/>
                <w:sz w:val="24"/>
                <w:szCs w:val="24"/>
                <w:highlight w:val="none"/>
                <w:lang w:val="en-US" w:eastAsia="zh-CN"/>
              </w:rPr>
              <w:t>源</w:t>
            </w:r>
            <w:r>
              <w:rPr>
                <w:rFonts w:hint="eastAsia" w:ascii="方正仿宋_GB2312" w:hAnsi="方正仿宋_GB2312" w:eastAsia="方正仿宋_GB2312" w:cs="方正仿宋_GB2312"/>
                <w:color w:val="auto"/>
                <w:sz w:val="24"/>
                <w:szCs w:val="24"/>
                <w:highlight w:val="none"/>
              </w:rPr>
              <w:t>。</w:t>
            </w:r>
          </w:p>
        </w:tc>
      </w:tr>
      <w:tr w14:paraId="40458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3749EA93">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暖壶</w:t>
            </w:r>
          </w:p>
        </w:tc>
        <w:tc>
          <w:tcPr>
            <w:tcW w:w="4184" w:type="pct"/>
            <w:tcBorders>
              <w:top w:val="nil"/>
              <w:left w:val="nil"/>
              <w:bottom w:val="single" w:color="000000" w:sz="6" w:space="0"/>
              <w:right w:val="single" w:color="000000" w:sz="6" w:space="0"/>
            </w:tcBorders>
            <w:shd w:val="clear" w:color="auto" w:fill="FFFFFF"/>
            <w:vAlign w:val="center"/>
          </w:tcPr>
          <w:p w14:paraId="11EDFE5F">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壶身无水渍</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油渍</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无锈迹、水垢</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壶身干净</w:t>
            </w:r>
            <w:r>
              <w:rPr>
                <w:rFonts w:hint="eastAsia" w:ascii="方正仿宋_GB2312" w:hAnsi="方正仿宋_GB2312" w:eastAsia="方正仿宋_GB2312" w:cs="方正仿宋_GB2312"/>
                <w:color w:val="auto"/>
                <w:sz w:val="24"/>
                <w:szCs w:val="24"/>
                <w:highlight w:val="none"/>
                <w:lang w:val="en-US" w:eastAsia="zh-CN"/>
              </w:rPr>
              <w:t>明亮</w:t>
            </w:r>
            <w:r>
              <w:rPr>
                <w:rFonts w:hint="eastAsia" w:ascii="方正仿宋_GB2312" w:hAnsi="方正仿宋_GB2312" w:eastAsia="方正仿宋_GB2312" w:cs="方正仿宋_GB2312"/>
                <w:color w:val="auto"/>
                <w:sz w:val="24"/>
                <w:szCs w:val="24"/>
                <w:highlight w:val="none"/>
              </w:rPr>
              <w:t>整洁。</w:t>
            </w:r>
          </w:p>
        </w:tc>
      </w:tr>
      <w:tr w14:paraId="3C696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77BBC328">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沙发</w:t>
            </w:r>
          </w:p>
        </w:tc>
        <w:tc>
          <w:tcPr>
            <w:tcW w:w="4184" w:type="pct"/>
            <w:tcBorders>
              <w:top w:val="nil"/>
              <w:left w:val="nil"/>
              <w:bottom w:val="single" w:color="000000" w:sz="6" w:space="0"/>
              <w:right w:val="single" w:color="000000" w:sz="6" w:space="0"/>
            </w:tcBorders>
            <w:shd w:val="clear" w:color="auto" w:fill="FFFFFF"/>
            <w:vAlign w:val="center"/>
          </w:tcPr>
          <w:p w14:paraId="75775D23">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无尘土、褶皱、污渍。</w:t>
            </w:r>
          </w:p>
        </w:tc>
      </w:tr>
      <w:tr w14:paraId="67C93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2F70973C">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茶几</w:t>
            </w:r>
          </w:p>
        </w:tc>
        <w:tc>
          <w:tcPr>
            <w:tcW w:w="4184" w:type="pct"/>
            <w:tcBorders>
              <w:top w:val="nil"/>
              <w:left w:val="nil"/>
              <w:bottom w:val="single" w:color="000000" w:sz="6" w:space="0"/>
              <w:right w:val="single" w:color="000000" w:sz="6" w:space="0"/>
            </w:tcBorders>
            <w:shd w:val="clear" w:color="auto" w:fill="FFFFFF"/>
            <w:vAlign w:val="center"/>
          </w:tcPr>
          <w:p w14:paraId="13A01557">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干净整洁、无尘土。</w:t>
            </w:r>
          </w:p>
        </w:tc>
      </w:tr>
      <w:tr w14:paraId="749DD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0390ECC5">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窗台</w:t>
            </w:r>
          </w:p>
        </w:tc>
        <w:tc>
          <w:tcPr>
            <w:tcW w:w="4184" w:type="pct"/>
            <w:tcBorders>
              <w:top w:val="nil"/>
              <w:left w:val="nil"/>
              <w:bottom w:val="single" w:color="000000" w:sz="6" w:space="0"/>
              <w:right w:val="single" w:color="000000" w:sz="6" w:space="0"/>
            </w:tcBorders>
            <w:shd w:val="clear" w:color="auto" w:fill="FFFFFF"/>
            <w:vAlign w:val="center"/>
          </w:tcPr>
          <w:p w14:paraId="1DDF7462">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干净清洁</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无尘土、杂物。</w:t>
            </w:r>
          </w:p>
        </w:tc>
      </w:tr>
      <w:tr w14:paraId="4D85A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197D4344">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窗帘</w:t>
            </w:r>
          </w:p>
        </w:tc>
        <w:tc>
          <w:tcPr>
            <w:tcW w:w="4184" w:type="pct"/>
            <w:tcBorders>
              <w:top w:val="nil"/>
              <w:left w:val="nil"/>
              <w:bottom w:val="single" w:color="000000" w:sz="6" w:space="0"/>
              <w:right w:val="single" w:color="000000" w:sz="6" w:space="0"/>
            </w:tcBorders>
            <w:shd w:val="clear" w:color="auto" w:fill="FFFFFF"/>
            <w:vAlign w:val="center"/>
          </w:tcPr>
          <w:p w14:paraId="1EDF5074">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lang w:eastAsia="zh-CN"/>
              </w:rPr>
            </w:pPr>
            <w:r>
              <w:rPr>
                <w:rFonts w:hint="eastAsia" w:ascii="方正仿宋_GB2312" w:hAnsi="方正仿宋_GB2312" w:eastAsia="方正仿宋_GB2312" w:cs="方正仿宋_GB2312"/>
                <w:color w:val="auto"/>
                <w:sz w:val="24"/>
                <w:szCs w:val="24"/>
                <w:highlight w:val="none"/>
              </w:rPr>
              <w:t>干净整洁</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无污迹，绑绳同一高度。垂直高低整齐一致，熨烫平整干净</w:t>
            </w:r>
            <w:r>
              <w:rPr>
                <w:rFonts w:hint="eastAsia" w:ascii="方正仿宋_GB2312" w:hAnsi="方正仿宋_GB2312" w:eastAsia="方正仿宋_GB2312" w:cs="方正仿宋_GB2312"/>
                <w:color w:val="auto"/>
                <w:sz w:val="24"/>
                <w:szCs w:val="24"/>
                <w:highlight w:val="none"/>
                <w:lang w:eastAsia="zh-CN"/>
              </w:rPr>
              <w:t>。</w:t>
            </w:r>
          </w:p>
        </w:tc>
      </w:tr>
      <w:tr w14:paraId="1563F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0C593CDB">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壁画、字画</w:t>
            </w:r>
          </w:p>
        </w:tc>
        <w:tc>
          <w:tcPr>
            <w:tcW w:w="4184" w:type="pct"/>
            <w:tcBorders>
              <w:top w:val="nil"/>
              <w:left w:val="nil"/>
              <w:bottom w:val="single" w:color="000000" w:sz="6" w:space="0"/>
              <w:right w:val="single" w:color="000000" w:sz="6" w:space="0"/>
            </w:tcBorders>
            <w:shd w:val="clear" w:color="auto" w:fill="FFFFFF"/>
            <w:vAlign w:val="center"/>
          </w:tcPr>
          <w:p w14:paraId="70B82320">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无灰尘，</w:t>
            </w:r>
            <w:r>
              <w:rPr>
                <w:rFonts w:hint="eastAsia" w:ascii="方正仿宋_GB2312" w:hAnsi="方正仿宋_GB2312" w:eastAsia="方正仿宋_GB2312" w:cs="方正仿宋_GB2312"/>
                <w:color w:val="auto"/>
                <w:sz w:val="24"/>
                <w:szCs w:val="24"/>
                <w:highlight w:val="none"/>
                <w:lang w:val="en-US" w:eastAsia="zh-CN"/>
              </w:rPr>
              <w:t>保持</w:t>
            </w:r>
            <w:r>
              <w:rPr>
                <w:rFonts w:hint="eastAsia" w:ascii="方正仿宋_GB2312" w:hAnsi="方正仿宋_GB2312" w:eastAsia="方正仿宋_GB2312" w:cs="方正仿宋_GB2312"/>
                <w:color w:val="auto"/>
                <w:sz w:val="24"/>
                <w:szCs w:val="24"/>
                <w:highlight w:val="none"/>
              </w:rPr>
              <w:t>物件本色。</w:t>
            </w:r>
          </w:p>
        </w:tc>
      </w:tr>
      <w:tr w14:paraId="5B0F3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2B7A82CB">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门</w:t>
            </w:r>
          </w:p>
        </w:tc>
        <w:tc>
          <w:tcPr>
            <w:tcW w:w="4184" w:type="pct"/>
            <w:tcBorders>
              <w:top w:val="nil"/>
              <w:left w:val="nil"/>
              <w:bottom w:val="single" w:color="000000" w:sz="6" w:space="0"/>
              <w:right w:val="single" w:color="000000" w:sz="6" w:space="0"/>
            </w:tcBorders>
            <w:shd w:val="clear" w:color="auto" w:fill="FFFFFF"/>
            <w:vAlign w:val="center"/>
          </w:tcPr>
          <w:p w14:paraId="1DACE19F">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无手印、污迹、尘土。</w:t>
            </w:r>
          </w:p>
        </w:tc>
      </w:tr>
      <w:tr w14:paraId="2637B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389BCCAE">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衣架</w:t>
            </w:r>
          </w:p>
        </w:tc>
        <w:tc>
          <w:tcPr>
            <w:tcW w:w="4184" w:type="pct"/>
            <w:tcBorders>
              <w:top w:val="nil"/>
              <w:left w:val="nil"/>
              <w:bottom w:val="single" w:color="000000" w:sz="6" w:space="0"/>
              <w:right w:val="single" w:color="000000" w:sz="6" w:space="0"/>
            </w:tcBorders>
            <w:shd w:val="clear" w:color="auto" w:fill="FFFFFF"/>
            <w:vAlign w:val="center"/>
          </w:tcPr>
          <w:p w14:paraId="6165AB52">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无尘土、油迹。</w:t>
            </w:r>
          </w:p>
        </w:tc>
      </w:tr>
      <w:tr w14:paraId="4410F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1CE3922F">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装饰物</w:t>
            </w:r>
          </w:p>
        </w:tc>
        <w:tc>
          <w:tcPr>
            <w:tcW w:w="4184" w:type="pct"/>
            <w:tcBorders>
              <w:top w:val="nil"/>
              <w:left w:val="nil"/>
              <w:bottom w:val="single" w:color="000000" w:sz="6" w:space="0"/>
              <w:right w:val="single" w:color="000000" w:sz="6" w:space="0"/>
            </w:tcBorders>
            <w:shd w:val="clear" w:color="auto" w:fill="FFFFFF"/>
            <w:vAlign w:val="center"/>
          </w:tcPr>
          <w:p w14:paraId="190DF130">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干净、整齐、摆放有序、物件本色。</w:t>
            </w:r>
          </w:p>
        </w:tc>
      </w:tr>
      <w:tr w14:paraId="1BF0A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5000" w:type="pct"/>
            <w:gridSpan w:val="2"/>
            <w:tcBorders>
              <w:top w:val="nil"/>
              <w:left w:val="single" w:color="000000" w:sz="6" w:space="0"/>
              <w:bottom w:val="single" w:color="000000" w:sz="6" w:space="0"/>
              <w:right w:val="single" w:color="000000" w:sz="6" w:space="0"/>
            </w:tcBorders>
            <w:shd w:val="clear" w:color="auto" w:fill="FFFFFF"/>
            <w:vAlign w:val="center"/>
          </w:tcPr>
          <w:p w14:paraId="1D8F175F">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lang w:val="en-US" w:eastAsia="zh-CN"/>
              </w:rPr>
              <w:t>宴会</w:t>
            </w:r>
            <w:r>
              <w:rPr>
                <w:rFonts w:hint="eastAsia" w:ascii="方正仿宋_GB2312" w:hAnsi="方正仿宋_GB2312" w:eastAsia="方正仿宋_GB2312" w:cs="方正仿宋_GB2312"/>
                <w:color w:val="auto"/>
                <w:sz w:val="24"/>
                <w:szCs w:val="24"/>
                <w:highlight w:val="none"/>
              </w:rPr>
              <w:t>餐具卫生标准</w:t>
            </w:r>
          </w:p>
        </w:tc>
      </w:tr>
      <w:tr w14:paraId="1C403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1E9FECC3">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骨碟、碗</w:t>
            </w:r>
          </w:p>
        </w:tc>
        <w:tc>
          <w:tcPr>
            <w:tcW w:w="4184" w:type="pct"/>
            <w:tcBorders>
              <w:top w:val="single" w:color="000000" w:sz="6" w:space="0"/>
              <w:left w:val="nil"/>
              <w:bottom w:val="single" w:color="000000" w:sz="6" w:space="0"/>
              <w:right w:val="single" w:color="000000" w:sz="6" w:space="0"/>
            </w:tcBorders>
            <w:shd w:val="clear" w:color="auto" w:fill="FFFFFF"/>
            <w:vAlign w:val="center"/>
          </w:tcPr>
          <w:p w14:paraId="20F8C7D5">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无水痕、手印、黄污垢、油垢</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无裂缝、缺口、光亮洁净</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餐后应物理消毒或化学消毒。</w:t>
            </w:r>
          </w:p>
        </w:tc>
      </w:tr>
      <w:tr w14:paraId="3417C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42C1C144">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酒杯</w:t>
            </w:r>
          </w:p>
        </w:tc>
        <w:tc>
          <w:tcPr>
            <w:tcW w:w="4184" w:type="pct"/>
            <w:tcBorders>
              <w:top w:val="nil"/>
              <w:left w:val="nil"/>
              <w:bottom w:val="single" w:color="000000" w:sz="6" w:space="0"/>
              <w:right w:val="single" w:color="000000" w:sz="6" w:space="0"/>
            </w:tcBorders>
            <w:shd w:val="clear" w:color="auto" w:fill="FFFFFF"/>
            <w:vAlign w:val="center"/>
          </w:tcPr>
          <w:p w14:paraId="2936132F">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无水痕、手印、黄污垢、油垢</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无裂缝、缺口、光亮洁净</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餐后应物理消毒或化学消毒。</w:t>
            </w:r>
          </w:p>
        </w:tc>
      </w:tr>
      <w:tr w14:paraId="4320E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7119AE3F">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烟灰缸</w:t>
            </w:r>
          </w:p>
        </w:tc>
        <w:tc>
          <w:tcPr>
            <w:tcW w:w="4184" w:type="pct"/>
            <w:tcBorders>
              <w:top w:val="nil"/>
              <w:left w:val="nil"/>
              <w:bottom w:val="single" w:color="000000" w:sz="6" w:space="0"/>
              <w:right w:val="single" w:color="000000" w:sz="6" w:space="0"/>
            </w:tcBorders>
            <w:shd w:val="clear" w:color="auto" w:fill="FFFFFF"/>
            <w:vAlign w:val="center"/>
          </w:tcPr>
          <w:p w14:paraId="6AD75510">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缸底无黑边污垢，缸壁光洁，无缺口、破损、裂缝。</w:t>
            </w:r>
          </w:p>
        </w:tc>
      </w:tr>
      <w:tr w14:paraId="70F46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24868DDA">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牙签桶</w:t>
            </w:r>
          </w:p>
        </w:tc>
        <w:tc>
          <w:tcPr>
            <w:tcW w:w="4184" w:type="pct"/>
            <w:tcBorders>
              <w:top w:val="nil"/>
              <w:left w:val="nil"/>
              <w:bottom w:val="single" w:color="000000" w:sz="6" w:space="0"/>
              <w:right w:val="single" w:color="000000" w:sz="6" w:space="0"/>
            </w:tcBorders>
            <w:shd w:val="clear" w:color="auto" w:fill="FFFFFF"/>
            <w:vAlign w:val="center"/>
          </w:tcPr>
          <w:p w14:paraId="2572B204">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桶外无油垢、污迹、裂缝，桶内底干净，无沉淀物。</w:t>
            </w:r>
          </w:p>
        </w:tc>
      </w:tr>
      <w:tr w14:paraId="2F100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10D2EB2B">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筷子</w:t>
            </w:r>
          </w:p>
        </w:tc>
        <w:tc>
          <w:tcPr>
            <w:tcW w:w="4184" w:type="pct"/>
            <w:tcBorders>
              <w:top w:val="nil"/>
              <w:left w:val="nil"/>
              <w:bottom w:val="single" w:color="000000" w:sz="6" w:space="0"/>
              <w:right w:val="single" w:color="000000" w:sz="6" w:space="0"/>
            </w:tcBorders>
            <w:shd w:val="clear" w:color="auto" w:fill="FFFFFF"/>
            <w:vAlign w:val="center"/>
          </w:tcPr>
          <w:p w14:paraId="62502100">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干净无污迹，餐后应物理消毒或化学消毒。</w:t>
            </w:r>
          </w:p>
        </w:tc>
      </w:tr>
      <w:tr w14:paraId="0F541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0B79EBC9">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酱醋壶</w:t>
            </w:r>
          </w:p>
        </w:tc>
        <w:tc>
          <w:tcPr>
            <w:tcW w:w="4184" w:type="pct"/>
            <w:tcBorders>
              <w:top w:val="nil"/>
              <w:left w:val="nil"/>
              <w:bottom w:val="single" w:color="000000" w:sz="6" w:space="0"/>
              <w:right w:val="single" w:color="000000" w:sz="6" w:space="0"/>
            </w:tcBorders>
            <w:shd w:val="clear" w:color="auto" w:fill="FFFFFF"/>
            <w:vAlign w:val="center"/>
          </w:tcPr>
          <w:p w14:paraId="4939BA16">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壶嘴无缺口，嘴内无污垢，壶底无沉淀物，壶外壁光平、无油迹。</w:t>
            </w:r>
          </w:p>
        </w:tc>
      </w:tr>
      <w:tr w14:paraId="6B404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7FA"/>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7F88EA7E">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茶壶</w:t>
            </w:r>
          </w:p>
        </w:tc>
        <w:tc>
          <w:tcPr>
            <w:tcW w:w="4184" w:type="pct"/>
            <w:tcBorders>
              <w:top w:val="nil"/>
              <w:left w:val="nil"/>
              <w:bottom w:val="single" w:color="000000" w:sz="6" w:space="0"/>
              <w:right w:val="single" w:color="000000" w:sz="6" w:space="0"/>
            </w:tcBorders>
            <w:shd w:val="clear" w:color="auto" w:fill="FFFFFF"/>
            <w:vAlign w:val="center"/>
          </w:tcPr>
          <w:p w14:paraId="415E8F86">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壶身无油迹、裂痕、壶嘴无垢印。</w:t>
            </w:r>
          </w:p>
        </w:tc>
      </w:tr>
      <w:tr w14:paraId="42461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0EDCF9DB">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口布</w:t>
            </w:r>
          </w:p>
        </w:tc>
        <w:tc>
          <w:tcPr>
            <w:tcW w:w="4184" w:type="pct"/>
            <w:tcBorders>
              <w:top w:val="nil"/>
              <w:left w:val="nil"/>
              <w:bottom w:val="single" w:color="000000" w:sz="6" w:space="0"/>
              <w:right w:val="single" w:color="000000" w:sz="6" w:space="0"/>
            </w:tcBorders>
            <w:shd w:val="clear" w:color="auto" w:fill="FFFFFF"/>
            <w:vAlign w:val="center"/>
          </w:tcPr>
          <w:p w14:paraId="045EEA76">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颜色一致、无毛边、洞口、油迹、熨烫平整。</w:t>
            </w:r>
          </w:p>
        </w:tc>
      </w:tr>
      <w:tr w14:paraId="5597B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trPr>
        <w:tc>
          <w:tcPr>
            <w:tcW w:w="815" w:type="pct"/>
            <w:tcBorders>
              <w:top w:val="nil"/>
              <w:left w:val="single" w:color="000000" w:sz="6" w:space="0"/>
              <w:bottom w:val="single" w:color="000000" w:sz="6" w:space="0"/>
              <w:right w:val="single" w:color="000000" w:sz="6" w:space="0"/>
            </w:tcBorders>
            <w:shd w:val="clear" w:color="auto" w:fill="FFFFFF"/>
            <w:vAlign w:val="center"/>
          </w:tcPr>
          <w:p w14:paraId="273D1A14">
            <w:pPr>
              <w:bidi w:val="0"/>
              <w:spacing w:line="240" w:lineRule="auto"/>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转盘</w:t>
            </w:r>
          </w:p>
        </w:tc>
        <w:tc>
          <w:tcPr>
            <w:tcW w:w="4184" w:type="pct"/>
            <w:tcBorders>
              <w:top w:val="nil"/>
              <w:left w:val="nil"/>
              <w:bottom w:val="single" w:color="000000" w:sz="6" w:space="0"/>
              <w:right w:val="single" w:color="000000" w:sz="6" w:space="0"/>
            </w:tcBorders>
            <w:shd w:val="clear" w:color="auto" w:fill="FFFFFF"/>
            <w:vAlign w:val="center"/>
          </w:tcPr>
          <w:p w14:paraId="4BDA0A12">
            <w:pPr>
              <w:bidi w:val="0"/>
              <w:spacing w:line="240" w:lineRule="auto"/>
              <w:ind w:firstLine="0" w:firstLineChars="0"/>
              <w:jc w:val="both"/>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正反两面无手印、水痕、异物、缺口，光亮透明。</w:t>
            </w:r>
          </w:p>
        </w:tc>
      </w:tr>
    </w:tbl>
    <w:p w14:paraId="64FB1CC3">
      <w:pPr>
        <w:pStyle w:val="12"/>
        <w:widowControl/>
        <w:numPr>
          <w:ilvl w:val="0"/>
          <w:numId w:val="7"/>
        </w:numPr>
        <w:tabs>
          <w:tab w:val="left" w:pos="1320"/>
          <w:tab w:val="clear" w:pos="210"/>
        </w:tabs>
        <w:ind w:left="0" w:leftChars="0" w:firstLine="480" w:firstLineChars="200"/>
        <w:rPr>
          <w:b w:val="0"/>
        </w:rPr>
      </w:pPr>
      <w:r>
        <w:t>库房管理</w:t>
      </w:r>
    </w:p>
    <w:p w14:paraId="2797C172">
      <w:pPr>
        <w:pStyle w:val="12"/>
        <w:widowControl/>
        <w:numPr>
          <w:ilvl w:val="0"/>
          <w:numId w:val="12"/>
        </w:numPr>
        <w:tabs>
          <w:tab w:val="left" w:pos="780"/>
          <w:tab w:val="clear" w:pos="210"/>
        </w:tabs>
        <w:ind w:left="0" w:leftChars="0" w:firstLine="480" w:firstLineChars="200"/>
        <w:rPr>
          <w:b w:val="0"/>
          <w:color w:val="auto"/>
        </w:rPr>
      </w:pPr>
      <w:r>
        <w:rPr>
          <w:color w:val="auto"/>
        </w:rPr>
        <w:t>食品与非食品、有毒有害物品分开储存。不得有过期变质、无标签食品。原料、半成品、成品及生熟分开存放，防止交叉污染。根据原料种类按其性质不同有秩序地在贮藏室或冰箱内存放。</w:t>
      </w:r>
    </w:p>
    <w:p w14:paraId="23065EF8">
      <w:pPr>
        <w:pStyle w:val="12"/>
        <w:widowControl/>
        <w:numPr>
          <w:ilvl w:val="0"/>
          <w:numId w:val="12"/>
        </w:numPr>
        <w:tabs>
          <w:tab w:val="left" w:pos="780"/>
          <w:tab w:val="clear" w:pos="210"/>
        </w:tabs>
        <w:ind w:left="0" w:leftChars="0" w:firstLine="480" w:firstLineChars="200"/>
        <w:rPr>
          <w:b w:val="0"/>
          <w:color w:val="auto"/>
        </w:rPr>
      </w:pPr>
      <w:r>
        <w:rPr>
          <w:color w:val="auto"/>
        </w:rPr>
        <w:t>成品（食品）存放实行“四隔离”生与熟隔离；成品与半成品隔离；食品与杂物、药物隔离；食品与天然冰隔离。</w:t>
      </w:r>
    </w:p>
    <w:p w14:paraId="34E4C818">
      <w:pPr>
        <w:pStyle w:val="12"/>
        <w:widowControl/>
        <w:numPr>
          <w:ilvl w:val="0"/>
          <w:numId w:val="12"/>
        </w:numPr>
        <w:tabs>
          <w:tab w:val="left" w:pos="780"/>
          <w:tab w:val="clear" w:pos="210"/>
        </w:tabs>
        <w:ind w:left="0" w:leftChars="0" w:firstLine="480" w:firstLineChars="200"/>
        <w:rPr>
          <w:b w:val="0"/>
          <w:color w:val="auto"/>
        </w:rPr>
      </w:pPr>
      <w:r>
        <w:rPr>
          <w:color w:val="auto"/>
        </w:rPr>
        <w:t>有严格的出入库管理台账。</w:t>
      </w:r>
    </w:p>
    <w:p w14:paraId="45121EC2">
      <w:pPr>
        <w:pStyle w:val="12"/>
        <w:widowControl/>
        <w:numPr>
          <w:ilvl w:val="0"/>
          <w:numId w:val="12"/>
        </w:numPr>
        <w:tabs>
          <w:tab w:val="left" w:pos="780"/>
          <w:tab w:val="clear" w:pos="210"/>
        </w:tabs>
        <w:ind w:left="0" w:leftChars="0" w:firstLine="480" w:firstLineChars="200"/>
        <w:rPr>
          <w:b w:val="0"/>
          <w:color w:val="auto"/>
        </w:rPr>
      </w:pPr>
      <w:r>
        <w:rPr>
          <w:color w:val="auto"/>
        </w:rPr>
        <w:t>乙方具有完善的食材采购及加工原材料验收程序，同时随时接受甲方的监督</w:t>
      </w:r>
    </w:p>
    <w:p w14:paraId="5C279DA9">
      <w:pPr>
        <w:pStyle w:val="12"/>
        <w:widowControl/>
        <w:numPr>
          <w:ilvl w:val="0"/>
          <w:numId w:val="13"/>
        </w:numPr>
        <w:tabs>
          <w:tab w:val="left" w:pos="1080"/>
        </w:tabs>
        <w:topLinePunct w:val="0"/>
        <w:ind w:left="0" w:leftChars="0" w:firstLine="480" w:firstLineChars="200"/>
        <w:rPr>
          <w:b w:val="0"/>
          <w:color w:val="auto"/>
        </w:rPr>
      </w:pPr>
      <w:r>
        <w:rPr>
          <w:color w:val="auto"/>
        </w:rPr>
        <w:t>总体要求：乙方合作的食材供货商应具备食品经营许可证、营业执照；采购符合卫生检验、检疫要求的食材。</w:t>
      </w:r>
    </w:p>
    <w:p w14:paraId="12BEB84D">
      <w:pPr>
        <w:pStyle w:val="12"/>
        <w:widowControl/>
        <w:numPr>
          <w:ilvl w:val="0"/>
          <w:numId w:val="13"/>
        </w:numPr>
        <w:tabs>
          <w:tab w:val="left" w:pos="1080"/>
        </w:tabs>
        <w:topLinePunct w:val="0"/>
        <w:ind w:left="0" w:leftChars="0" w:firstLine="480" w:firstLineChars="200"/>
        <w:rPr>
          <w:b w:val="0"/>
          <w:color w:val="auto"/>
        </w:rPr>
      </w:pPr>
      <w:r>
        <w:rPr>
          <w:color w:val="auto"/>
        </w:rPr>
        <w:t>米面油、杂粮、杂豆、肉、禽及蔬菜水果、蛋奶类食品、食醋、酱油调味料等原则上采购绿色有机食品，到名优特产地或直销供货商处采购。确保食材新鲜、保质期新鲜，禽、肉类食品应有相关的检验合格证明。</w:t>
      </w:r>
    </w:p>
    <w:p w14:paraId="4D497BE7">
      <w:pPr>
        <w:pStyle w:val="12"/>
        <w:widowControl/>
        <w:numPr>
          <w:ilvl w:val="0"/>
          <w:numId w:val="13"/>
        </w:numPr>
        <w:tabs>
          <w:tab w:val="left" w:pos="1080"/>
        </w:tabs>
        <w:topLinePunct w:val="0"/>
        <w:ind w:left="0" w:leftChars="0" w:firstLine="480" w:firstLineChars="200"/>
        <w:rPr>
          <w:b w:val="0"/>
          <w:color w:val="auto"/>
        </w:rPr>
      </w:pPr>
      <w:r>
        <w:rPr>
          <w:color w:val="auto"/>
        </w:rPr>
        <w:t>科学合理测算每日食材，做到日进日清，防止浪费，杜绝使用变质食材。</w:t>
      </w:r>
    </w:p>
    <w:p w14:paraId="66C3907D">
      <w:pPr>
        <w:pStyle w:val="12"/>
        <w:widowControl/>
        <w:numPr>
          <w:ilvl w:val="0"/>
          <w:numId w:val="13"/>
        </w:numPr>
        <w:tabs>
          <w:tab w:val="left" w:pos="1080"/>
        </w:tabs>
        <w:topLinePunct w:val="0"/>
        <w:ind w:left="0" w:leftChars="0" w:firstLine="480" w:firstLineChars="200"/>
        <w:rPr>
          <w:b w:val="0"/>
          <w:color w:val="auto"/>
        </w:rPr>
      </w:pPr>
      <w:r>
        <w:rPr>
          <w:color w:val="auto"/>
        </w:rPr>
        <w:t>主要食材供货商由乙方按上述条件提出，甲方指派专人对乙方采购食材进行监督管理，并由甲方审核确认，方可进行采购。</w:t>
      </w:r>
    </w:p>
    <w:p w14:paraId="5D9B248D">
      <w:pPr>
        <w:pStyle w:val="12"/>
        <w:widowControl/>
        <w:numPr>
          <w:ilvl w:val="0"/>
          <w:numId w:val="13"/>
        </w:numPr>
        <w:tabs>
          <w:tab w:val="left" w:pos="1080"/>
        </w:tabs>
        <w:topLinePunct w:val="0"/>
        <w:ind w:left="0" w:leftChars="0" w:firstLine="480" w:firstLineChars="200"/>
        <w:rPr>
          <w:b w:val="0"/>
          <w:color w:val="auto"/>
        </w:rPr>
      </w:pPr>
      <w:r>
        <w:rPr>
          <w:color w:val="auto"/>
        </w:rPr>
        <w:t>乙方将每日提供食材采购信息表（含供应商名称、品牌、数量、单价、当日市场牌价等）及食材采购原始单据复印件、就餐人员数量以备甲方核查。</w:t>
      </w:r>
    </w:p>
    <w:p w14:paraId="3C594E0F">
      <w:pPr>
        <w:pStyle w:val="12"/>
        <w:widowControl/>
        <w:numPr>
          <w:ilvl w:val="0"/>
          <w:numId w:val="13"/>
        </w:numPr>
        <w:tabs>
          <w:tab w:val="left" w:pos="1080"/>
        </w:tabs>
        <w:topLinePunct w:val="0"/>
        <w:ind w:left="0" w:leftChars="0" w:firstLine="480" w:firstLineChars="200"/>
        <w:rPr>
          <w:b w:val="0"/>
          <w:color w:val="auto"/>
        </w:rPr>
      </w:pPr>
      <w:r>
        <w:rPr>
          <w:color w:val="auto"/>
        </w:rPr>
        <w:t>乙方将每日提供食材消耗情况（库存量）；每月进行一次餐厅成本核算，向甲方提供核算报表。</w:t>
      </w:r>
    </w:p>
    <w:p w14:paraId="5562CD26">
      <w:pPr>
        <w:pStyle w:val="12"/>
        <w:widowControl/>
        <w:numPr>
          <w:ilvl w:val="0"/>
          <w:numId w:val="13"/>
        </w:numPr>
        <w:tabs>
          <w:tab w:val="left" w:pos="1080"/>
        </w:tabs>
        <w:topLinePunct w:val="0"/>
        <w:ind w:left="0" w:leftChars="0" w:firstLine="480" w:firstLineChars="200"/>
        <w:rPr>
          <w:b w:val="0"/>
          <w:color w:val="auto"/>
        </w:rPr>
      </w:pPr>
      <w:r>
        <w:rPr>
          <w:color w:val="auto"/>
        </w:rPr>
        <w:t>蔬菜类应每日配送，当日配送种类与数量以前一天菜单为准，根据需求开出每日菜单的品种及数量，供货商须在当日内做出响应。</w:t>
      </w:r>
    </w:p>
    <w:p w14:paraId="01252EA2">
      <w:pPr>
        <w:pStyle w:val="12"/>
        <w:widowControl/>
        <w:numPr>
          <w:ilvl w:val="0"/>
          <w:numId w:val="13"/>
        </w:numPr>
        <w:tabs>
          <w:tab w:val="left" w:pos="1080"/>
        </w:tabs>
        <w:topLinePunct w:val="0"/>
        <w:ind w:left="0" w:leftChars="0" w:firstLine="480" w:firstLineChars="200"/>
        <w:rPr>
          <w:b w:val="0"/>
          <w:color w:val="auto"/>
        </w:rPr>
      </w:pPr>
      <w:r>
        <w:rPr>
          <w:color w:val="auto"/>
        </w:rPr>
        <w:t>肉禽蛋类根据需求开出每日菜单的品种及数量，供货商须在当日内做出响应。</w:t>
      </w:r>
    </w:p>
    <w:p w14:paraId="70EE69BA">
      <w:pPr>
        <w:pStyle w:val="12"/>
        <w:widowControl/>
        <w:numPr>
          <w:ilvl w:val="0"/>
          <w:numId w:val="13"/>
        </w:numPr>
        <w:tabs>
          <w:tab w:val="left" w:pos="1080"/>
        </w:tabs>
        <w:topLinePunct w:val="0"/>
        <w:ind w:left="0" w:leftChars="0" w:firstLine="480" w:firstLineChars="200"/>
        <w:rPr>
          <w:b w:val="0"/>
          <w:color w:val="auto"/>
        </w:rPr>
      </w:pPr>
      <w:r>
        <w:rPr>
          <w:color w:val="auto"/>
        </w:rPr>
        <w:t>肉禽蛋类配送方式符合要求。</w:t>
      </w:r>
    </w:p>
    <w:p w14:paraId="61E40F32">
      <w:pPr>
        <w:pStyle w:val="12"/>
        <w:widowControl/>
        <w:numPr>
          <w:ilvl w:val="0"/>
          <w:numId w:val="13"/>
        </w:numPr>
        <w:tabs>
          <w:tab w:val="left" w:pos="1080"/>
        </w:tabs>
        <w:topLinePunct w:val="0"/>
        <w:ind w:left="0" w:leftChars="0" w:firstLine="480" w:firstLineChars="200"/>
        <w:rPr>
          <w:b w:val="0"/>
          <w:color w:val="auto"/>
        </w:rPr>
      </w:pPr>
      <w:r>
        <w:rPr>
          <w:color w:val="auto"/>
        </w:rPr>
        <w:t>干货、调味品类根据制订的周工作计划完成供货需求，每周根据需要配送当周产品。</w:t>
      </w:r>
    </w:p>
    <w:p w14:paraId="722AF7A3">
      <w:pPr>
        <w:pStyle w:val="12"/>
        <w:widowControl/>
        <w:numPr>
          <w:ilvl w:val="0"/>
          <w:numId w:val="13"/>
        </w:numPr>
        <w:tabs>
          <w:tab w:val="left" w:pos="1080"/>
        </w:tabs>
        <w:topLinePunct w:val="0"/>
        <w:ind w:left="0" w:leftChars="0" w:firstLine="480" w:firstLineChars="200"/>
        <w:rPr>
          <w:b w:val="0"/>
          <w:color w:val="auto"/>
        </w:rPr>
      </w:pPr>
      <w:r>
        <w:rPr>
          <w:color w:val="auto"/>
        </w:rPr>
        <w:t>采购食品及原料时，必须与供货单位签订含食品安全内容的供货协议，索取并保管好有效的营业执照、相关许可证、产品合格证明文件、动物产品检疫合格证明等；在商场、超市等采购食品原料的，保存好每日供货票据；在农贸市场采购的，在采购单据上由供货方、甲方、验货员三方签字后妥善保管。</w:t>
      </w:r>
    </w:p>
    <w:p w14:paraId="10919327">
      <w:pPr>
        <w:pStyle w:val="12"/>
        <w:widowControl/>
        <w:numPr>
          <w:ilvl w:val="0"/>
          <w:numId w:val="13"/>
        </w:numPr>
        <w:tabs>
          <w:tab w:val="left" w:pos="1080"/>
        </w:tabs>
        <w:topLinePunct w:val="0"/>
        <w:ind w:left="0" w:leftChars="0" w:firstLine="480" w:firstLineChars="200"/>
        <w:rPr>
          <w:b w:val="0"/>
          <w:color w:val="auto"/>
        </w:rPr>
      </w:pPr>
      <w:r>
        <w:rPr>
          <w:color w:val="auto"/>
        </w:rPr>
        <w:t>加工过程严格按照各功能（区）间用途和加工程序进行食品加工操作，不得随意变更，不交叉使用。食品原料在使用前认真检查感官性状是否正常，动物性、植物性、食品原料应分池清洗；各切配区不同色标的刀具、砧板不得混用，砧板立式存放；生熟食品的加工工具及容器应分开使用并有明显标志；原料、半成品、成品应分开存放，并根据性质分类存放；已盛装食品的容器不得直接置于地上。</w:t>
      </w:r>
    </w:p>
    <w:p w14:paraId="6BFDBDDE">
      <w:pPr>
        <w:pStyle w:val="12"/>
        <w:widowControl/>
        <w:numPr>
          <w:ilvl w:val="0"/>
          <w:numId w:val="13"/>
        </w:numPr>
        <w:tabs>
          <w:tab w:val="left" w:pos="1080"/>
        </w:tabs>
        <w:topLinePunct w:val="0"/>
        <w:ind w:left="0" w:leftChars="0" w:firstLine="480" w:firstLineChars="200"/>
        <w:rPr>
          <w:b w:val="0"/>
          <w:color w:val="auto"/>
        </w:rPr>
      </w:pPr>
      <w:r>
        <w:rPr>
          <w:color w:val="auto"/>
        </w:rPr>
        <w:t>留样冷藏冰箱应专用，标志明显；每个品种留样量不少于200g，每餐留样时间不少于48小时。食品添加剂应由专人采购、专人保管、专人领用、专人登记、专柜保存，采用精确计量工具称量，并有详细记录。</w:t>
      </w:r>
    </w:p>
    <w:p w14:paraId="46E52B40">
      <w:pPr>
        <w:pStyle w:val="12"/>
        <w:widowControl/>
        <w:numPr>
          <w:ilvl w:val="0"/>
          <w:numId w:val="13"/>
        </w:numPr>
        <w:tabs>
          <w:tab w:val="left" w:pos="1080"/>
        </w:tabs>
        <w:topLinePunct w:val="0"/>
        <w:ind w:left="0" w:leftChars="0" w:firstLine="480" w:firstLineChars="200"/>
        <w:rPr>
          <w:b w:val="0"/>
          <w:color w:val="auto"/>
        </w:rPr>
      </w:pPr>
      <w:r>
        <w:rPr>
          <w:color w:val="auto"/>
        </w:rPr>
        <w:t>餐具消毒应严格执行餐具、饮具、工具、容器等清洗消毒程序。消毒后应符合GB14934的规定，洗涤剂、消毒剂应符合GB13940.1和GB14930.2的规定。</w:t>
      </w:r>
    </w:p>
    <w:p w14:paraId="7A1179E1">
      <w:pPr>
        <w:pStyle w:val="12"/>
        <w:widowControl/>
        <w:numPr>
          <w:ilvl w:val="0"/>
          <w:numId w:val="7"/>
        </w:numPr>
        <w:tabs>
          <w:tab w:val="left" w:pos="1320"/>
          <w:tab w:val="clear" w:pos="210"/>
        </w:tabs>
        <w:ind w:left="0" w:leftChars="0" w:firstLine="480" w:firstLineChars="200"/>
        <w:rPr>
          <w:b w:val="0"/>
        </w:rPr>
      </w:pPr>
      <w:r>
        <w:t>原材料验收</w:t>
      </w:r>
    </w:p>
    <w:p w14:paraId="38A6668E">
      <w:pPr>
        <w:pStyle w:val="12"/>
        <w:widowControl/>
        <w:numPr>
          <w:ilvl w:val="0"/>
          <w:numId w:val="14"/>
        </w:numPr>
        <w:tabs>
          <w:tab w:val="left" w:pos="780"/>
          <w:tab w:val="clear" w:pos="210"/>
        </w:tabs>
        <w:ind w:left="0" w:leftChars="0" w:firstLine="480" w:firstLineChars="200"/>
        <w:rPr>
          <w:b w:val="0"/>
          <w:color w:val="auto"/>
        </w:rPr>
      </w:pPr>
      <w:r>
        <w:rPr>
          <w:color w:val="auto"/>
        </w:rPr>
        <w:t>验收粮、油时必须要求供货方提供经国家食品卫生检验检疫机构出具的该批次粮、油产品检验报告或合格证。</w:t>
      </w:r>
    </w:p>
    <w:p w14:paraId="2B54976F">
      <w:pPr>
        <w:pStyle w:val="12"/>
        <w:widowControl/>
        <w:numPr>
          <w:ilvl w:val="0"/>
          <w:numId w:val="14"/>
        </w:numPr>
        <w:tabs>
          <w:tab w:val="left" w:pos="780"/>
          <w:tab w:val="clear" w:pos="210"/>
        </w:tabs>
        <w:ind w:left="0" w:leftChars="0" w:firstLine="480" w:firstLineChars="200"/>
        <w:rPr>
          <w:b w:val="0"/>
          <w:color w:val="auto"/>
        </w:rPr>
      </w:pPr>
      <w:r>
        <w:rPr>
          <w:color w:val="auto"/>
        </w:rPr>
        <w:t>批量粮、油到货后，必须抽样打开包装仔细检查，要求供方产品不掺假，不过期、不变质、不变味、无杂质、无毒害，货物净重量须与外包装标明的重量一致，符合国家食品行业的标准产品。且生产日期不得超过最长保质期的三分之</w:t>
      </w:r>
      <w:r>
        <w:rPr>
          <w:i/>
          <w:color w:val="auto"/>
        </w:rPr>
        <w:t>一。</w:t>
      </w:r>
    </w:p>
    <w:p w14:paraId="2D1EA761">
      <w:pPr>
        <w:pStyle w:val="12"/>
        <w:widowControl/>
        <w:numPr>
          <w:ilvl w:val="0"/>
          <w:numId w:val="14"/>
        </w:numPr>
        <w:tabs>
          <w:tab w:val="left" w:pos="780"/>
          <w:tab w:val="clear" w:pos="210"/>
        </w:tabs>
        <w:ind w:left="0" w:leftChars="0" w:firstLine="480" w:firstLineChars="200"/>
        <w:rPr>
          <w:b w:val="0"/>
          <w:color w:val="auto"/>
        </w:rPr>
      </w:pPr>
      <w:r>
        <w:rPr>
          <w:color w:val="auto"/>
        </w:rPr>
        <w:t>蔬菜类必须无黄叶、枯死叶、无虫、无杂质、色泽鲜亮，水分充足叶面饱满。原菜须保证菜面干净，无明显泥土，码放整齐，无破损，大小基本统一，不得过熟，净菜须保证菜面完全干净，无泥土，按统一标准加工，码放整齐。</w:t>
      </w:r>
    </w:p>
    <w:p w14:paraId="7B8F4C97">
      <w:pPr>
        <w:pStyle w:val="12"/>
        <w:widowControl/>
        <w:numPr>
          <w:ilvl w:val="0"/>
          <w:numId w:val="14"/>
        </w:numPr>
        <w:tabs>
          <w:tab w:val="left" w:pos="780"/>
          <w:tab w:val="clear" w:pos="210"/>
        </w:tabs>
        <w:ind w:left="0" w:leftChars="0" w:firstLine="480" w:firstLineChars="200"/>
        <w:rPr>
          <w:b w:val="0"/>
          <w:color w:val="auto"/>
        </w:rPr>
      </w:pPr>
      <w:r>
        <w:rPr>
          <w:color w:val="auto"/>
        </w:rPr>
        <w:t>水果须保证新鲜、无农药、无异味、无挤压、虫眼、过熟或欠熟，大小重量匀称等，表面无疤痕，果体光洁饱满。</w:t>
      </w:r>
    </w:p>
    <w:p w14:paraId="1E82915C">
      <w:pPr>
        <w:pStyle w:val="12"/>
        <w:widowControl/>
        <w:numPr>
          <w:ilvl w:val="0"/>
          <w:numId w:val="14"/>
        </w:numPr>
        <w:tabs>
          <w:tab w:val="left" w:pos="780"/>
          <w:tab w:val="clear" w:pos="210"/>
        </w:tabs>
        <w:ind w:left="0" w:leftChars="0" w:firstLine="480" w:firstLineChars="200"/>
        <w:rPr>
          <w:b w:val="0"/>
          <w:color w:val="auto"/>
        </w:rPr>
      </w:pPr>
      <w:r>
        <w:rPr>
          <w:color w:val="auto"/>
        </w:rPr>
        <w:t>水产类须鲜活、无腐烂变质，大小基本统一，水产类净菜须保证处理干净、表面无鳞片、血迹、内脏清理彻底、无异味。</w:t>
      </w:r>
    </w:p>
    <w:p w14:paraId="36DD8B5E">
      <w:pPr>
        <w:pStyle w:val="12"/>
        <w:widowControl/>
        <w:numPr>
          <w:ilvl w:val="0"/>
          <w:numId w:val="14"/>
        </w:numPr>
        <w:tabs>
          <w:tab w:val="left" w:pos="780"/>
          <w:tab w:val="clear" w:pos="210"/>
        </w:tabs>
        <w:ind w:left="0" w:leftChars="0" w:firstLine="480" w:firstLineChars="200"/>
        <w:rPr>
          <w:b w:val="0"/>
          <w:color w:val="auto"/>
        </w:rPr>
      </w:pPr>
      <w:r>
        <w:rPr>
          <w:color w:val="auto"/>
        </w:rPr>
        <w:t>肉类必须保证提供为当日生产产品，肉身必须盖有卫生检疫章，同时出具加盖政府机构动物卫生监督所鲜章的动物检疫合格证明，畜肉品须色泽鲜亮、无任何异味、无毛、按压无注水，纹理清晰，肉质细腻，品质好。</w:t>
      </w:r>
    </w:p>
    <w:p w14:paraId="0FD818B8">
      <w:pPr>
        <w:pStyle w:val="12"/>
        <w:widowControl/>
        <w:numPr>
          <w:ilvl w:val="0"/>
          <w:numId w:val="14"/>
        </w:numPr>
        <w:tabs>
          <w:tab w:val="left" w:pos="780"/>
          <w:tab w:val="clear" w:pos="210"/>
        </w:tabs>
        <w:ind w:left="0" w:leftChars="0" w:firstLine="480" w:firstLineChars="200"/>
        <w:rPr>
          <w:b w:val="0"/>
          <w:color w:val="auto"/>
        </w:rPr>
      </w:pPr>
      <w:r>
        <w:rPr>
          <w:color w:val="auto"/>
        </w:rPr>
        <w:t>禽类制品须肉面干净、无任何异味、无注水、无羽毛、表皮无疤痕，大小匀称、肉质紧致，码放整齐；</w:t>
      </w:r>
    </w:p>
    <w:p w14:paraId="2DDA5FD7">
      <w:pPr>
        <w:pStyle w:val="12"/>
        <w:widowControl/>
        <w:numPr>
          <w:ilvl w:val="0"/>
          <w:numId w:val="14"/>
        </w:numPr>
        <w:tabs>
          <w:tab w:val="left" w:pos="780"/>
          <w:tab w:val="clear" w:pos="210"/>
        </w:tabs>
        <w:ind w:left="0" w:leftChars="0" w:firstLine="480" w:firstLineChars="200"/>
        <w:rPr>
          <w:b w:val="0"/>
          <w:color w:val="auto"/>
        </w:rPr>
      </w:pPr>
      <w:r>
        <w:rPr>
          <w:color w:val="auto"/>
        </w:rPr>
        <w:t>蛋类须新鲜，不超过三日以上产品，大小均匀，外壳无破裂，光洁的产品，周转箱堆放。</w:t>
      </w:r>
    </w:p>
    <w:p w14:paraId="7CA9F010">
      <w:pPr>
        <w:pStyle w:val="12"/>
        <w:widowControl/>
        <w:numPr>
          <w:ilvl w:val="0"/>
          <w:numId w:val="14"/>
        </w:numPr>
        <w:tabs>
          <w:tab w:val="left" w:pos="780"/>
          <w:tab w:val="clear" w:pos="210"/>
        </w:tabs>
        <w:ind w:left="0" w:leftChars="0" w:firstLine="480" w:firstLineChars="200"/>
        <w:rPr>
          <w:b w:val="0"/>
          <w:color w:val="auto"/>
        </w:rPr>
      </w:pPr>
      <w:r>
        <w:rPr>
          <w:color w:val="auto"/>
        </w:rPr>
        <w:t>散装干货类物品、无任何破损、无挤压、无破碎、无异味、无任何表面附着物或衍生物，不掺假、不过期、不变味、无杂质、无毒无害，无霉变，符合国家食品卫生的有关规定。</w:t>
      </w:r>
    </w:p>
    <w:p w14:paraId="0929C0FF">
      <w:pPr>
        <w:pStyle w:val="12"/>
        <w:widowControl/>
        <w:numPr>
          <w:ilvl w:val="0"/>
          <w:numId w:val="14"/>
        </w:numPr>
        <w:tabs>
          <w:tab w:val="left" w:pos="780"/>
          <w:tab w:val="clear" w:pos="210"/>
        </w:tabs>
        <w:ind w:left="0" w:leftChars="0" w:firstLine="480" w:firstLineChars="200"/>
        <w:rPr>
          <w:b w:val="0"/>
          <w:color w:val="auto"/>
        </w:rPr>
      </w:pPr>
      <w:r>
        <w:rPr>
          <w:color w:val="auto"/>
        </w:rPr>
        <w:t>定量包装调味品及小食品、牛奶须保证品牌、品种、规格完全符合用餐要求，内外包装规格与标注相符，是符合国家食品行业规定的正规产品，出厂日期到收货日期间隔时间不得超出商品保质期限的三分之一，商品包装须有合格证及食品生产许可证编号和生产许可标识。</w:t>
      </w:r>
    </w:p>
    <w:p w14:paraId="79F09360">
      <w:pPr>
        <w:pStyle w:val="20"/>
        <w:widowControl/>
        <w:numPr>
          <w:ilvl w:val="0"/>
          <w:numId w:val="1"/>
        </w:numPr>
        <w:tabs>
          <w:tab w:val="left" w:pos="1690"/>
          <w:tab w:val="clear" w:pos="210"/>
        </w:tabs>
        <w:ind w:left="0" w:leftChars="0" w:firstLine="600" w:firstLineChars="200"/>
        <w:outlineLvl w:val="0"/>
      </w:pPr>
      <w:r>
        <w:t>双方权利义务</w:t>
      </w:r>
    </w:p>
    <w:p w14:paraId="7C6E8D51">
      <w:pPr>
        <w:pStyle w:val="12"/>
        <w:widowControl/>
        <w:numPr>
          <w:ilvl w:val="0"/>
          <w:numId w:val="15"/>
        </w:numPr>
        <w:tabs>
          <w:tab w:val="left" w:pos="1560"/>
          <w:tab w:val="clear" w:pos="210"/>
        </w:tabs>
        <w:ind w:left="0" w:leftChars="0" w:firstLine="480" w:firstLineChars="200"/>
        <w:rPr>
          <w:b w:val="0"/>
        </w:rPr>
      </w:pPr>
      <w:r>
        <w:t>甲方的权利义务</w:t>
      </w:r>
    </w:p>
    <w:p w14:paraId="79E5317D">
      <w:pPr>
        <w:pStyle w:val="12"/>
        <w:widowControl/>
        <w:numPr>
          <w:ilvl w:val="0"/>
          <w:numId w:val="16"/>
        </w:numPr>
        <w:tabs>
          <w:tab w:val="left" w:pos="780"/>
          <w:tab w:val="clear" w:pos="210"/>
        </w:tabs>
        <w:ind w:left="0" w:leftChars="0" w:firstLine="480" w:firstLineChars="200"/>
        <w:rPr>
          <w:b w:val="0"/>
          <w:color w:val="auto"/>
        </w:rPr>
      </w:pPr>
      <w:r>
        <w:rPr>
          <w:color w:val="auto"/>
        </w:rPr>
        <w:t>代表和维护产权人、使用人的合法权益。</w:t>
      </w:r>
    </w:p>
    <w:p w14:paraId="18A9F7ED">
      <w:pPr>
        <w:pStyle w:val="12"/>
        <w:widowControl/>
        <w:numPr>
          <w:ilvl w:val="0"/>
          <w:numId w:val="16"/>
        </w:numPr>
        <w:tabs>
          <w:tab w:val="left" w:pos="780"/>
          <w:tab w:val="clear" w:pos="210"/>
        </w:tabs>
        <w:ind w:left="0" w:leftChars="0" w:firstLine="480" w:firstLineChars="200"/>
        <w:rPr>
          <w:b w:val="0"/>
          <w:color w:val="auto"/>
        </w:rPr>
      </w:pPr>
      <w:r>
        <w:rPr>
          <w:color w:val="auto"/>
        </w:rPr>
        <w:t>不得干涉乙方依法或依本合同规定内容所进行的管理活动。</w:t>
      </w:r>
    </w:p>
    <w:p w14:paraId="428F4463">
      <w:pPr>
        <w:pStyle w:val="12"/>
        <w:widowControl/>
        <w:numPr>
          <w:ilvl w:val="0"/>
          <w:numId w:val="16"/>
        </w:numPr>
        <w:tabs>
          <w:tab w:val="left" w:pos="780"/>
          <w:tab w:val="clear" w:pos="210"/>
        </w:tabs>
        <w:ind w:left="0" w:leftChars="0" w:firstLine="480" w:firstLineChars="200"/>
        <w:rPr>
          <w:b w:val="0"/>
          <w:color w:val="auto"/>
        </w:rPr>
      </w:pPr>
      <w:r>
        <w:rPr>
          <w:color w:val="auto"/>
        </w:rPr>
        <w:t>负责调解非乙方原因而产生的各种纠纷。</w:t>
      </w:r>
    </w:p>
    <w:p w14:paraId="03CE878D">
      <w:pPr>
        <w:pStyle w:val="12"/>
        <w:widowControl/>
        <w:numPr>
          <w:ilvl w:val="0"/>
          <w:numId w:val="16"/>
        </w:numPr>
        <w:tabs>
          <w:tab w:val="left" w:pos="780"/>
          <w:tab w:val="clear" w:pos="210"/>
        </w:tabs>
        <w:ind w:left="0" w:leftChars="0" w:firstLine="480" w:firstLineChars="200"/>
        <w:rPr>
          <w:b w:val="0"/>
          <w:color w:val="auto"/>
        </w:rPr>
      </w:pPr>
      <w:r>
        <w:rPr>
          <w:color w:val="auto"/>
        </w:rPr>
        <w:t>审定乙方提出的餐饮管理服务年度计划。</w:t>
      </w:r>
    </w:p>
    <w:p w14:paraId="19222EFA">
      <w:pPr>
        <w:pStyle w:val="12"/>
        <w:widowControl/>
        <w:numPr>
          <w:ilvl w:val="0"/>
          <w:numId w:val="16"/>
        </w:numPr>
        <w:tabs>
          <w:tab w:val="left" w:pos="780"/>
          <w:tab w:val="clear" w:pos="210"/>
        </w:tabs>
        <w:ind w:left="0" w:leftChars="0" w:firstLine="480" w:firstLineChars="200"/>
        <w:rPr>
          <w:b w:val="0"/>
          <w:color w:val="auto"/>
        </w:rPr>
      </w:pPr>
      <w:r>
        <w:rPr>
          <w:color w:val="auto"/>
        </w:rPr>
        <w:t>监督和管理乙方的日常食堂运营工作及乙方人员遵守甲方拟定的相关规定的实施。</w:t>
      </w:r>
    </w:p>
    <w:p w14:paraId="06C07196">
      <w:pPr>
        <w:pStyle w:val="12"/>
        <w:widowControl/>
        <w:numPr>
          <w:ilvl w:val="0"/>
          <w:numId w:val="16"/>
        </w:numPr>
        <w:tabs>
          <w:tab w:val="left" w:pos="780"/>
          <w:tab w:val="clear" w:pos="210"/>
        </w:tabs>
        <w:ind w:left="0" w:leftChars="0" w:firstLine="480" w:firstLineChars="200"/>
        <w:rPr>
          <w:b w:val="0"/>
          <w:color w:val="auto"/>
        </w:rPr>
      </w:pPr>
      <w:r>
        <w:rPr>
          <w:color w:val="auto"/>
        </w:rPr>
        <w:t>监督乙方合法合规经营，有权对乙方的安全生产、从业人员健康等进行抽查，对乙方餐饮收费标准适时进行审核监督，依照《中华人民共和国食品安全法》和自治区、市餐饮服务业管理规定对乙方进行监督检查。</w:t>
      </w:r>
    </w:p>
    <w:p w14:paraId="53D37BBE">
      <w:pPr>
        <w:pStyle w:val="12"/>
        <w:widowControl/>
        <w:numPr>
          <w:ilvl w:val="0"/>
          <w:numId w:val="16"/>
        </w:numPr>
        <w:tabs>
          <w:tab w:val="left" w:pos="780"/>
          <w:tab w:val="clear" w:pos="210"/>
        </w:tabs>
        <w:ind w:left="0" w:leftChars="0" w:firstLine="480" w:firstLineChars="200"/>
        <w:rPr>
          <w:b w:val="0"/>
          <w:color w:val="auto"/>
        </w:rPr>
      </w:pPr>
      <w:r>
        <w:rPr>
          <w:color w:val="auto"/>
        </w:rPr>
        <w:t>按合同要求对乙方提供的各项服务制定评审考核办法（见附件），每月进行评审和检查考核，若乙方未达到甲方的相关要求，甲方应及时通知乙方进行整改。若乙方在规定的期限内没有达到甲方要求的整改效果以及乙方在履行合同期间发生重大安全责任事故，或因重大服务保障问题造成极坏影响和后果的，甲方有权进行处罚、要求赔偿，甚至终止尚未履行完毕的合同。</w:t>
      </w:r>
    </w:p>
    <w:p w14:paraId="4D216FF5">
      <w:pPr>
        <w:pStyle w:val="12"/>
        <w:widowControl/>
        <w:numPr>
          <w:ilvl w:val="0"/>
          <w:numId w:val="16"/>
        </w:numPr>
        <w:tabs>
          <w:tab w:val="left" w:pos="780"/>
          <w:tab w:val="clear" w:pos="210"/>
        </w:tabs>
        <w:ind w:left="0" w:leftChars="0" w:firstLine="480" w:firstLineChars="200"/>
        <w:rPr>
          <w:b w:val="0"/>
          <w:color w:val="auto"/>
        </w:rPr>
      </w:pPr>
      <w:r>
        <w:rPr>
          <w:color w:val="auto"/>
        </w:rPr>
        <w:t>自乙方接管之日起负责向乙方提供办公室、值班室及仓库等必要的工作条件；协助乙方为餐饮值班人员解决值班场所。</w:t>
      </w:r>
    </w:p>
    <w:p w14:paraId="04A17D9D">
      <w:pPr>
        <w:pStyle w:val="12"/>
        <w:widowControl/>
        <w:numPr>
          <w:ilvl w:val="0"/>
          <w:numId w:val="16"/>
        </w:numPr>
        <w:tabs>
          <w:tab w:val="left" w:pos="780"/>
          <w:tab w:val="clear" w:pos="210"/>
        </w:tabs>
        <w:ind w:left="0" w:leftChars="0" w:firstLine="480" w:firstLineChars="200"/>
        <w:rPr>
          <w:b w:val="0"/>
          <w:color w:val="auto"/>
        </w:rPr>
      </w:pPr>
      <w:r>
        <w:rPr>
          <w:color w:val="auto"/>
        </w:rPr>
        <w:t>协助乙方制定和落实防火、防盗等制度及突发事件预案。</w:t>
      </w:r>
    </w:p>
    <w:p w14:paraId="52DEA2D4">
      <w:pPr>
        <w:pStyle w:val="12"/>
        <w:widowControl/>
        <w:numPr>
          <w:ilvl w:val="0"/>
          <w:numId w:val="16"/>
        </w:numPr>
        <w:tabs>
          <w:tab w:val="left" w:pos="780"/>
          <w:tab w:val="clear" w:pos="210"/>
        </w:tabs>
        <w:ind w:left="0" w:leftChars="0" w:firstLine="480" w:firstLineChars="200"/>
        <w:rPr>
          <w:b w:val="0"/>
          <w:color w:val="auto"/>
        </w:rPr>
      </w:pPr>
      <w:r>
        <w:rPr>
          <w:color w:val="auto"/>
        </w:rPr>
        <w:t>法规、政策规定由甲方承担的其他责任。</w:t>
      </w:r>
    </w:p>
    <w:p w14:paraId="51942883">
      <w:pPr>
        <w:pStyle w:val="12"/>
        <w:widowControl/>
        <w:numPr>
          <w:ilvl w:val="0"/>
          <w:numId w:val="15"/>
        </w:numPr>
        <w:tabs>
          <w:tab w:val="left" w:pos="1560"/>
          <w:tab w:val="clear" w:pos="210"/>
        </w:tabs>
        <w:ind w:left="0" w:leftChars="0" w:firstLine="480" w:firstLineChars="200"/>
        <w:rPr>
          <w:b w:val="0"/>
        </w:rPr>
      </w:pPr>
      <w:r>
        <w:t>乙方的权利义务</w:t>
      </w:r>
    </w:p>
    <w:p w14:paraId="0FDD0EFC">
      <w:pPr>
        <w:pStyle w:val="12"/>
        <w:widowControl/>
        <w:numPr>
          <w:ilvl w:val="0"/>
          <w:numId w:val="17"/>
        </w:numPr>
        <w:tabs>
          <w:tab w:val="left" w:pos="780"/>
          <w:tab w:val="clear" w:pos="210"/>
        </w:tabs>
        <w:ind w:left="0" w:leftChars="0" w:firstLine="480" w:firstLineChars="200"/>
        <w:rPr>
          <w:b w:val="0"/>
          <w:color w:val="auto"/>
        </w:rPr>
      </w:pPr>
      <w:r>
        <w:rPr>
          <w:color w:val="auto"/>
        </w:rPr>
        <w:t>乙方在甲方设立专门机构，负责餐饮管理工作，并由该机构履行本合同规定的权利和义务。</w:t>
      </w:r>
    </w:p>
    <w:p w14:paraId="64802F07">
      <w:pPr>
        <w:pStyle w:val="12"/>
        <w:widowControl/>
        <w:numPr>
          <w:ilvl w:val="0"/>
          <w:numId w:val="17"/>
        </w:numPr>
        <w:tabs>
          <w:tab w:val="left" w:pos="780"/>
          <w:tab w:val="clear" w:pos="210"/>
        </w:tabs>
        <w:ind w:left="0" w:leftChars="0" w:firstLine="480" w:firstLineChars="200"/>
        <w:rPr>
          <w:b w:val="0"/>
          <w:color w:val="auto"/>
        </w:rPr>
      </w:pPr>
      <w:r>
        <w:rPr>
          <w:color w:val="auto"/>
        </w:rPr>
        <w:t>依照国家、自治区有关规定及甲方需求自主开展餐饮经营活动，但不得侵害甲方及他人的合法权益，不得利用提供餐饮管理服务的便利获取不当利益。</w:t>
      </w:r>
    </w:p>
    <w:p w14:paraId="5BD2CF19">
      <w:pPr>
        <w:pStyle w:val="12"/>
        <w:widowControl/>
        <w:numPr>
          <w:ilvl w:val="0"/>
          <w:numId w:val="17"/>
        </w:numPr>
        <w:tabs>
          <w:tab w:val="left" w:pos="780"/>
          <w:tab w:val="clear" w:pos="210"/>
        </w:tabs>
        <w:ind w:left="0" w:leftChars="0" w:firstLine="480" w:firstLineChars="200"/>
        <w:rPr>
          <w:b w:val="0"/>
          <w:color w:val="auto"/>
        </w:rPr>
      </w:pPr>
      <w:r>
        <w:rPr>
          <w:color w:val="auto"/>
        </w:rPr>
        <w:t>在经营期间严格执行《中华人民共和国食品安全法》《中华人民共和国食品安全法实施条例》《餐饮服务食品安全操作规范》及甲方的相关规定，主动接受甲方和国家食品卫生部门、环保部门、市场监督管理部门的检查与监督。</w:t>
      </w:r>
    </w:p>
    <w:p w14:paraId="6C59C3F6">
      <w:pPr>
        <w:pStyle w:val="12"/>
        <w:widowControl/>
        <w:numPr>
          <w:ilvl w:val="0"/>
          <w:numId w:val="17"/>
        </w:numPr>
        <w:tabs>
          <w:tab w:val="left" w:pos="780"/>
          <w:tab w:val="clear" w:pos="210"/>
        </w:tabs>
        <w:ind w:left="0" w:leftChars="0" w:firstLine="480" w:firstLineChars="200"/>
        <w:rPr>
          <w:b/>
          <w:color w:val="auto"/>
        </w:rPr>
      </w:pPr>
      <w:r>
        <w:rPr>
          <w:color w:val="auto"/>
        </w:rPr>
        <w:t>按照国家有关规定建立健全《餐厅餐饮安全管理制度》等相关制度。</w:t>
      </w:r>
    </w:p>
    <w:p w14:paraId="6B28A55C">
      <w:pPr>
        <w:pStyle w:val="12"/>
        <w:widowControl/>
        <w:numPr>
          <w:ilvl w:val="0"/>
          <w:numId w:val="17"/>
        </w:numPr>
        <w:tabs>
          <w:tab w:val="left" w:pos="780"/>
          <w:tab w:val="clear" w:pos="210"/>
        </w:tabs>
        <w:ind w:left="0" w:leftChars="0" w:firstLine="480" w:firstLineChars="200"/>
        <w:rPr>
          <w:b w:val="0"/>
          <w:color w:val="auto"/>
        </w:rPr>
      </w:pPr>
      <w:r>
        <w:rPr>
          <w:color w:val="auto"/>
        </w:rPr>
        <w:t>接受甲方的日常要求，及时改善和执行甲方对运营管理的合理建议和指示，负责监督食堂就餐高峰期食堂内部工作秩序，并及时协调处理食堂内发生的紧急事件。</w:t>
      </w:r>
    </w:p>
    <w:p w14:paraId="7D1CF3AB">
      <w:pPr>
        <w:pStyle w:val="12"/>
        <w:widowControl/>
        <w:numPr>
          <w:ilvl w:val="0"/>
          <w:numId w:val="17"/>
        </w:numPr>
        <w:tabs>
          <w:tab w:val="left" w:pos="780"/>
          <w:tab w:val="clear" w:pos="210"/>
        </w:tabs>
        <w:ind w:left="0" w:leftChars="0" w:firstLine="480" w:firstLineChars="200"/>
        <w:rPr>
          <w:b w:val="0"/>
          <w:color w:val="auto"/>
        </w:rPr>
      </w:pPr>
      <w:r>
        <w:rPr>
          <w:color w:val="auto"/>
        </w:rPr>
        <w:t>对因乙方的原因导致发生的人员伤害事故、财产损失、食物中毒以及其它重大安全事故，依照合同和有关法律法规由乙方独自承担刑事责任和民事赔偿责任。</w:t>
      </w:r>
    </w:p>
    <w:p w14:paraId="74146AB4">
      <w:pPr>
        <w:pStyle w:val="12"/>
        <w:widowControl/>
        <w:numPr>
          <w:ilvl w:val="0"/>
          <w:numId w:val="17"/>
        </w:numPr>
        <w:tabs>
          <w:tab w:val="left" w:pos="780"/>
          <w:tab w:val="clear" w:pos="210"/>
        </w:tabs>
        <w:ind w:left="0" w:leftChars="0" w:firstLine="480" w:firstLineChars="200"/>
        <w:rPr>
          <w:b w:val="0"/>
          <w:color w:val="auto"/>
        </w:rPr>
      </w:pPr>
      <w:r>
        <w:rPr>
          <w:color w:val="auto"/>
        </w:rPr>
        <w:t>做好各项安全管理工作</w:t>
      </w:r>
    </w:p>
    <w:p w14:paraId="3C5E5224">
      <w:pPr>
        <w:pStyle w:val="12"/>
        <w:widowControl/>
        <w:numPr>
          <w:ilvl w:val="0"/>
          <w:numId w:val="18"/>
        </w:numPr>
        <w:tabs>
          <w:tab w:val="left" w:pos="1080"/>
        </w:tabs>
        <w:topLinePunct w:val="0"/>
        <w:ind w:left="0" w:leftChars="0" w:firstLine="480" w:firstLineChars="200"/>
        <w:rPr>
          <w:b w:val="0"/>
          <w:color w:val="auto"/>
        </w:rPr>
      </w:pPr>
      <w:r>
        <w:rPr>
          <w:color w:val="auto"/>
        </w:rPr>
        <w:t>人身安全：在提供服务期间，因服务人员设备操作不当引起的人身安全事故；或因员工上下班期间发生的交通事故或其他威胁人身安全的一切事故均由乙方负责，乙方需自行监督管理所派遣的服务人员，在合同期内派遣的服务人员发生任何安全事故均由乙方负责，甲方不承担任何责任；乙方应确保及时、准确、妥善地处理所派人员的工资发放及代扣代缴、档案管理等工作，因劳动仲裁、诉讼、发生工伤或工亡等事件，由乙方负责；</w:t>
      </w:r>
    </w:p>
    <w:p w14:paraId="5B0B2166">
      <w:pPr>
        <w:pStyle w:val="12"/>
        <w:widowControl/>
        <w:numPr>
          <w:ilvl w:val="0"/>
          <w:numId w:val="18"/>
        </w:numPr>
        <w:tabs>
          <w:tab w:val="left" w:pos="1080"/>
        </w:tabs>
        <w:topLinePunct w:val="0"/>
        <w:ind w:left="0" w:leftChars="0" w:firstLine="480" w:firstLineChars="200"/>
        <w:rPr>
          <w:b w:val="0"/>
          <w:color w:val="auto"/>
        </w:rPr>
      </w:pPr>
      <w:r>
        <w:rPr>
          <w:color w:val="auto"/>
        </w:rPr>
        <w:t>设备安全：乙方需对派遣的服务人员完成岗前、岗上培训工作，因设备操作失误导致设备损坏或引发的一系列安全事故，由乙方负责承担并根据设备严重情况照价赔偿；服务辖区内因乙方日常管理不善，出现涉及水、电、气、明火使用等操作不当引发的一系列安全事故所造成的损失均由乙方负责承担，甲方不承担任何责任。</w:t>
      </w:r>
    </w:p>
    <w:p w14:paraId="316BD221">
      <w:pPr>
        <w:pStyle w:val="12"/>
        <w:widowControl/>
        <w:numPr>
          <w:ilvl w:val="0"/>
          <w:numId w:val="17"/>
        </w:numPr>
        <w:tabs>
          <w:tab w:val="left" w:pos="780"/>
          <w:tab w:val="clear" w:pos="210"/>
        </w:tabs>
        <w:ind w:left="0" w:leftChars="0" w:firstLine="480" w:firstLineChars="200"/>
        <w:rPr>
          <w:b w:val="0"/>
          <w:color w:val="auto"/>
        </w:rPr>
      </w:pPr>
      <w:r>
        <w:rPr>
          <w:color w:val="auto"/>
        </w:rPr>
        <w:t>负责编制和实施各项餐饮管理制度，防火、防盗、食品安全等制度及突发事件预案等。</w:t>
      </w:r>
    </w:p>
    <w:p w14:paraId="592E4B45">
      <w:pPr>
        <w:pStyle w:val="12"/>
        <w:widowControl/>
        <w:numPr>
          <w:ilvl w:val="0"/>
          <w:numId w:val="17"/>
        </w:numPr>
        <w:tabs>
          <w:tab w:val="left" w:pos="780"/>
          <w:tab w:val="clear" w:pos="210"/>
        </w:tabs>
        <w:ind w:left="0" w:leftChars="0" w:firstLine="480" w:firstLineChars="200"/>
        <w:rPr>
          <w:b w:val="0"/>
          <w:color w:val="auto"/>
        </w:rPr>
      </w:pPr>
      <w:r>
        <w:rPr>
          <w:color w:val="auto"/>
        </w:rPr>
        <w:t>重视员工队伍建设，加强思想政治和安全教育工作，遵纪守法，按章作业，规范管理。</w:t>
      </w:r>
    </w:p>
    <w:p w14:paraId="25B27524">
      <w:pPr>
        <w:pStyle w:val="12"/>
        <w:widowControl/>
        <w:numPr>
          <w:ilvl w:val="0"/>
          <w:numId w:val="17"/>
        </w:numPr>
        <w:tabs>
          <w:tab w:val="left" w:pos="780"/>
          <w:tab w:val="clear" w:pos="210"/>
        </w:tabs>
        <w:ind w:left="0" w:leftChars="0" w:firstLine="480" w:firstLineChars="200"/>
        <w:rPr>
          <w:b w:val="0"/>
          <w:color w:val="auto"/>
        </w:rPr>
      </w:pPr>
      <w:r>
        <w:rPr>
          <w:color w:val="auto"/>
        </w:rPr>
        <w:t>甲方违反合同约定，使乙方未能实现规定的管理要求，乙方有权要求甲方限期解决，逾期未解决的，乙方有权终止合同；给乙方造成经济损失的，乙方有权要求甲方进行经济赔偿。</w:t>
      </w:r>
    </w:p>
    <w:p w14:paraId="1C46651A">
      <w:pPr>
        <w:pStyle w:val="12"/>
        <w:widowControl/>
        <w:numPr>
          <w:ilvl w:val="0"/>
          <w:numId w:val="17"/>
        </w:numPr>
        <w:tabs>
          <w:tab w:val="left" w:pos="780"/>
          <w:tab w:val="clear" w:pos="210"/>
        </w:tabs>
        <w:ind w:left="0" w:leftChars="0" w:firstLine="480" w:firstLineChars="200"/>
        <w:rPr>
          <w:b w:val="0"/>
          <w:color w:val="auto"/>
        </w:rPr>
      </w:pPr>
      <w:r>
        <w:rPr>
          <w:color w:val="auto"/>
        </w:rPr>
        <w:t>合同终止时，乙方须向甲方移交全部档案资料。</w:t>
      </w:r>
    </w:p>
    <w:p w14:paraId="691F6933">
      <w:pPr>
        <w:pStyle w:val="20"/>
        <w:widowControl/>
        <w:numPr>
          <w:ilvl w:val="0"/>
          <w:numId w:val="1"/>
        </w:numPr>
        <w:tabs>
          <w:tab w:val="left" w:pos="1690"/>
          <w:tab w:val="clear" w:pos="210"/>
        </w:tabs>
        <w:ind w:left="0" w:leftChars="0" w:firstLine="600" w:firstLineChars="200"/>
        <w:outlineLvl w:val="0"/>
      </w:pPr>
      <w:r>
        <w:t>违约责任</w:t>
      </w:r>
    </w:p>
    <w:p w14:paraId="2CCCC0AB">
      <w:pPr>
        <w:pStyle w:val="12"/>
        <w:widowControl/>
        <w:numPr>
          <w:ilvl w:val="0"/>
          <w:numId w:val="19"/>
        </w:numPr>
        <w:tabs>
          <w:tab w:val="left" w:pos="1563"/>
          <w:tab w:val="clear" w:pos="210"/>
        </w:tabs>
        <w:ind w:left="0" w:leftChars="0" w:firstLine="480" w:firstLineChars="200"/>
        <w:rPr>
          <w:b/>
          <w:color w:val="auto"/>
        </w:rPr>
      </w:pPr>
      <w:r>
        <w:rPr>
          <w:color w:val="auto"/>
        </w:rPr>
        <w:t>合同期内非法律规定或合同约定，任何一方无故擅自终止本合同，应当承担违约责任，违约方应当赔偿未履行部分合同金额日万分之五的违约金给对方，由此给对方造成的经济损失，违约方应予以赔偿。</w:t>
      </w:r>
    </w:p>
    <w:p w14:paraId="743AEEEF">
      <w:pPr>
        <w:pStyle w:val="12"/>
        <w:widowControl/>
        <w:numPr>
          <w:ilvl w:val="0"/>
          <w:numId w:val="19"/>
        </w:numPr>
        <w:tabs>
          <w:tab w:val="left" w:pos="1563"/>
          <w:tab w:val="clear" w:pos="210"/>
        </w:tabs>
        <w:ind w:left="0" w:leftChars="0" w:firstLine="480" w:firstLineChars="200"/>
        <w:rPr>
          <w:b/>
          <w:color w:val="auto"/>
        </w:rPr>
      </w:pPr>
      <w:r>
        <w:rPr>
          <w:color w:val="auto"/>
        </w:rPr>
        <w:t>甲方应按合同约定按时向乙方支付相关费用，逾期超过一个月时，甲方则应从逾期之日起每天按每月应支付费用日万分之五的标准向乙方支付相应的滞纳金。</w:t>
      </w:r>
    </w:p>
    <w:p w14:paraId="7E03B4AF">
      <w:pPr>
        <w:pStyle w:val="12"/>
        <w:widowControl/>
        <w:tabs>
          <w:tab w:val="left" w:pos="480"/>
        </w:tabs>
        <w:ind w:left="0" w:leftChars="0" w:firstLine="480" w:firstLineChars="200"/>
      </w:pPr>
      <w:r>
        <w:drawing>
          <wp:anchor distT="0" distB="0" distL="0" distR="0" simplePos="0" relativeHeight="251659264" behindDoc="0" locked="0" layoutInCell="1" allowOverlap="1">
            <wp:simplePos x="0" y="0"/>
            <wp:positionH relativeFrom="column">
              <wp:posOffset>0</wp:posOffset>
            </wp:positionH>
            <wp:positionV relativeFrom="paragraph">
              <wp:posOffset>610870</wp:posOffset>
            </wp:positionV>
            <wp:extent cx="44450" cy="508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7"/>
                    <a:stretch>
                      <a:fillRect/>
                    </a:stretch>
                  </pic:blipFill>
                  <pic:spPr>
                    <a:xfrm>
                      <a:off x="0" y="0"/>
                      <a:ext cx="44469" cy="50793"/>
                    </a:xfrm>
                    <a:prstGeom prst="rect">
                      <a:avLst/>
                    </a:prstGeom>
                  </pic:spPr>
                </pic:pic>
              </a:graphicData>
            </a:graphic>
          </wp:anchor>
        </w:drawing>
      </w:r>
      <w:r>
        <w:rPr>
          <w:b/>
        </w:rPr>
        <w:t xml:space="preserve">第十九条  </w:t>
      </w:r>
      <w:r>
        <w:rPr>
          <w:color w:val="FF0000"/>
        </w:rPr>
        <w:t>甲方</w:t>
      </w:r>
      <w:r>
        <w:rPr>
          <w:color w:val="FF0000"/>
          <w:highlight w:val="none"/>
          <w:u w:val="none"/>
        </w:rPr>
        <w:t>对乙方的服务质量和绩效进行考核。按照规定进行考核打分，并将考核打分结果及绩效评价结果公示，绩效评价结果不合格的，甲方有权立即终止合同。因终止合同给甲方造成的损失，由乙方全权承担。</w:t>
      </w:r>
    </w:p>
    <w:p w14:paraId="301A6CD7">
      <w:pPr>
        <w:pStyle w:val="12"/>
        <w:widowControl/>
        <w:tabs>
          <w:tab w:val="left" w:pos="482"/>
        </w:tabs>
        <w:ind w:left="0" w:leftChars="0" w:firstLine="482" w:firstLineChars="200"/>
        <w:rPr>
          <w:color w:val="auto"/>
        </w:rPr>
      </w:pPr>
      <w:r>
        <w:rPr>
          <w:b/>
          <w:color w:val="auto"/>
        </w:rPr>
        <w:t xml:space="preserve">第二十条  </w:t>
      </w:r>
      <w:r>
        <w:rPr>
          <w:color w:val="auto"/>
        </w:rPr>
        <w:t>因房屋建筑质量、设备设施质量或安装技术等原因造成相关设施设备功能失常或酿成重大事故时，甲方应承担由此而产生的相关责任。对造成上述事件原因的判定，以国家相关主管部门的技术鉴定为准。</w:t>
      </w:r>
    </w:p>
    <w:p w14:paraId="2EE95101">
      <w:pPr>
        <w:pStyle w:val="12"/>
        <w:widowControl/>
        <w:tabs>
          <w:tab w:val="left" w:pos="482"/>
        </w:tabs>
        <w:ind w:left="0" w:leftChars="0" w:firstLine="482" w:firstLineChars="200"/>
        <w:rPr>
          <w:color w:val="auto"/>
        </w:rPr>
      </w:pPr>
      <w:r>
        <w:rPr>
          <w:b/>
          <w:color w:val="auto"/>
        </w:rPr>
        <w:t>第二十一条</w:t>
      </w:r>
      <w:r>
        <w:rPr>
          <w:color w:val="auto"/>
        </w:rPr>
        <w:t>乙方不承担非乙方管理失误造成甲方或餐饮相关使用人物品丢失、被盗、损坏或发生其他安全问题，乙方应协助公安机关积极破案。</w:t>
      </w:r>
    </w:p>
    <w:p w14:paraId="728F3EB1">
      <w:pPr>
        <w:pStyle w:val="20"/>
        <w:widowControl/>
        <w:numPr>
          <w:ilvl w:val="0"/>
          <w:numId w:val="1"/>
        </w:numPr>
        <w:tabs>
          <w:tab w:val="left" w:pos="1690"/>
          <w:tab w:val="clear" w:pos="210"/>
        </w:tabs>
        <w:ind w:left="0" w:leftChars="0" w:firstLine="600" w:firstLineChars="200"/>
        <w:outlineLvl w:val="0"/>
      </w:pPr>
      <w:r>
        <w:t>合同的变更和终止</w:t>
      </w:r>
    </w:p>
    <w:p w14:paraId="372A449F">
      <w:pPr>
        <w:pStyle w:val="12"/>
        <w:widowControl/>
        <w:numPr>
          <w:ilvl w:val="0"/>
          <w:numId w:val="20"/>
        </w:numPr>
        <w:tabs>
          <w:tab w:val="left" w:pos="1804"/>
          <w:tab w:val="clear" w:pos="210"/>
        </w:tabs>
        <w:ind w:left="0" w:leftChars="0" w:firstLine="480" w:firstLineChars="200"/>
        <w:rPr>
          <w:b/>
          <w:color w:val="auto"/>
        </w:rPr>
      </w:pPr>
      <w:r>
        <w:rPr>
          <w:color w:val="auto"/>
        </w:rPr>
        <w:t>本合同未尽事宜经双方协商同意后可签订补充协议，补充协议与本合同具有同等效力。</w:t>
      </w:r>
    </w:p>
    <w:p w14:paraId="712F85B6">
      <w:pPr>
        <w:pStyle w:val="12"/>
        <w:widowControl/>
        <w:numPr>
          <w:ilvl w:val="0"/>
          <w:numId w:val="20"/>
        </w:numPr>
        <w:tabs>
          <w:tab w:val="left" w:pos="1804"/>
          <w:tab w:val="clear" w:pos="210"/>
        </w:tabs>
        <w:ind w:left="0" w:leftChars="0" w:firstLine="480" w:firstLineChars="200"/>
        <w:rPr>
          <w:b/>
          <w:color w:val="auto"/>
        </w:rPr>
      </w:pPr>
      <w:r>
        <w:rPr>
          <w:color w:val="auto"/>
        </w:rPr>
        <w:t>本合同终止时，乙方应移交餐饮管理权，撤出本项目，协助甲方做好餐饮服务的交接和善后工作，移交或配合甲方移交管理用房等。</w:t>
      </w:r>
    </w:p>
    <w:p w14:paraId="160BF9A4">
      <w:pPr>
        <w:pStyle w:val="20"/>
        <w:widowControl/>
        <w:numPr>
          <w:ilvl w:val="0"/>
          <w:numId w:val="1"/>
        </w:numPr>
        <w:tabs>
          <w:tab w:val="left" w:pos="1690"/>
          <w:tab w:val="clear" w:pos="210"/>
        </w:tabs>
        <w:ind w:left="0" w:leftChars="0" w:firstLine="600" w:firstLineChars="200"/>
        <w:outlineLvl w:val="0"/>
      </w:pPr>
      <w:r>
        <w:t>争议的解决</w:t>
      </w:r>
    </w:p>
    <w:p w14:paraId="69DE349F">
      <w:pPr>
        <w:pStyle w:val="12"/>
        <w:widowControl/>
        <w:ind w:left="0" w:leftChars="0" w:firstLine="482" w:firstLineChars="200"/>
        <w:rPr>
          <w:color w:val="auto"/>
        </w:rPr>
      </w:pPr>
      <w:r>
        <w:rPr>
          <w:b/>
          <w:color w:val="auto"/>
        </w:rPr>
        <w:t xml:space="preserve">第二十三条  </w:t>
      </w:r>
      <w:r>
        <w:rPr>
          <w:color w:val="auto"/>
        </w:rPr>
        <w:t>因合同的解释或履行发生争议，双方应协商解决，协商不成的，可向有管辖权的人民法院提起诉讼。</w:t>
      </w:r>
    </w:p>
    <w:p w14:paraId="2ECF71E6">
      <w:pPr>
        <w:pStyle w:val="20"/>
        <w:widowControl/>
        <w:numPr>
          <w:ilvl w:val="0"/>
          <w:numId w:val="1"/>
        </w:numPr>
        <w:tabs>
          <w:tab w:val="left" w:pos="1690"/>
          <w:tab w:val="clear" w:pos="210"/>
        </w:tabs>
        <w:ind w:left="0" w:leftChars="0" w:firstLine="600" w:firstLineChars="200"/>
        <w:outlineLvl w:val="0"/>
      </w:pPr>
      <w:r>
        <w:t>附则</w:t>
      </w:r>
    </w:p>
    <w:p w14:paraId="171631F2">
      <w:pPr>
        <w:pStyle w:val="12"/>
        <w:widowControl/>
        <w:numPr>
          <w:ilvl w:val="0"/>
          <w:numId w:val="21"/>
        </w:numPr>
        <w:tabs>
          <w:tab w:val="left" w:pos="1800"/>
          <w:tab w:val="clear" w:pos="210"/>
        </w:tabs>
        <w:ind w:left="0" w:leftChars="0" w:firstLine="480" w:firstLineChars="200"/>
        <w:rPr>
          <w:b w:val="0"/>
          <w:color w:val="auto"/>
        </w:rPr>
      </w:pPr>
      <w:r>
        <w:rPr>
          <w:color w:val="auto"/>
        </w:rPr>
        <w:t>本合同未尽事宜，有国家有相关规定的，依规定解决；没有规定的，由双方协商解决，并签订书面协议。</w:t>
      </w:r>
    </w:p>
    <w:p w14:paraId="0855DE4B">
      <w:pPr>
        <w:pStyle w:val="12"/>
        <w:widowControl/>
        <w:numPr>
          <w:ilvl w:val="0"/>
          <w:numId w:val="21"/>
        </w:numPr>
        <w:tabs>
          <w:tab w:val="left" w:pos="1800"/>
          <w:tab w:val="clear" w:pos="210"/>
        </w:tabs>
        <w:ind w:left="0" w:leftChars="0" w:firstLine="480" w:firstLineChars="200"/>
        <w:rPr>
          <w:b w:val="0"/>
          <w:color w:val="auto"/>
        </w:rPr>
      </w:pPr>
      <w:r>
        <w:rPr>
          <w:color w:val="auto"/>
        </w:rPr>
        <w:t>对本合同的任何修改、补充或变更应经双方书面确认，并作为本合同附件，与本合同具有同等的法律效力。</w:t>
      </w:r>
    </w:p>
    <w:p w14:paraId="449BFD68">
      <w:pPr>
        <w:pStyle w:val="12"/>
        <w:widowControl/>
        <w:numPr>
          <w:ilvl w:val="0"/>
          <w:numId w:val="21"/>
        </w:numPr>
        <w:tabs>
          <w:tab w:val="left" w:pos="1800"/>
          <w:tab w:val="clear" w:pos="210"/>
        </w:tabs>
        <w:ind w:left="0" w:leftChars="0" w:firstLine="480" w:firstLineChars="200"/>
        <w:rPr>
          <w:b w:val="0"/>
          <w:color w:val="auto"/>
        </w:rPr>
      </w:pPr>
      <w:r>
        <w:rPr>
          <w:color w:val="auto"/>
        </w:rPr>
        <w:t>本合同连同附件一式肆份，甲、乙双方各执贰份，具有同等法律效力。</w:t>
      </w:r>
    </w:p>
    <w:p w14:paraId="1ED47C75">
      <w:pPr>
        <w:pStyle w:val="12"/>
        <w:widowControl/>
        <w:numPr>
          <w:ilvl w:val="0"/>
          <w:numId w:val="21"/>
        </w:numPr>
        <w:tabs>
          <w:tab w:val="left" w:pos="1800"/>
          <w:tab w:val="clear" w:pos="210"/>
        </w:tabs>
        <w:ind w:left="0" w:leftChars="0" w:firstLine="480" w:firstLineChars="200"/>
        <w:rPr>
          <w:b w:val="0"/>
          <w:color w:val="auto"/>
        </w:rPr>
      </w:pPr>
      <w:r>
        <w:rPr>
          <w:color w:val="auto"/>
        </w:rPr>
        <w:t>本合同经甲、乙双方法定代表人或授权代表签署并加盖公章或合同专用章后生效。</w:t>
      </w:r>
    </w:p>
    <w:p w14:paraId="449515B7">
      <w:pPr>
        <w:pStyle w:val="12"/>
        <w:widowControl/>
        <w:ind w:left="0" w:leftChars="0" w:firstLine="482" w:firstLineChars="200"/>
        <w:rPr>
          <w:color w:val="auto"/>
        </w:rPr>
      </w:pPr>
      <w:r>
        <w:rPr>
          <w:b/>
          <w:color w:val="auto"/>
        </w:rPr>
        <w:t>附件1：《职工餐厅服务综合考核管理办法》</w:t>
      </w:r>
    </w:p>
    <w:p w14:paraId="5B8537C7">
      <w:pPr>
        <w:pStyle w:val="12"/>
        <w:widowControl/>
        <w:ind w:left="0" w:leftChars="0" w:firstLine="482" w:firstLineChars="200"/>
        <w:rPr>
          <w:color w:val="auto"/>
        </w:rPr>
      </w:pPr>
      <w:r>
        <w:rPr>
          <w:b/>
          <w:color w:val="auto"/>
        </w:rPr>
        <w:t>本合同签署页标明当事人联系方式和联系信息，适用于双方往来联系、书面文件送达及争议解决时法律文书送达。</w:t>
      </w:r>
    </w:p>
    <w:p w14:paraId="38058F2A">
      <w:pPr>
        <w:pStyle w:val="12"/>
        <w:widowControl/>
        <w:ind w:left="0" w:leftChars="0" w:firstLine="482" w:firstLineChars="200"/>
        <w:rPr>
          <w:color w:val="auto"/>
        </w:rPr>
      </w:pPr>
      <w:r>
        <w:rPr>
          <w:b/>
          <w:color w:val="auto"/>
        </w:rPr>
        <w:t>因签署页联系方式或联系信息错误或单方变更后未及时书面通知而无法送达的，自交邮后第7日视为送达。</w:t>
      </w:r>
    </w:p>
    <w:p w14:paraId="12967CCD">
      <w:pPr>
        <w:pStyle w:val="12"/>
        <w:widowControl/>
        <w:ind w:left="0" w:leftChars="0" w:firstLine="480" w:firstLineChars="200"/>
        <w:rPr>
          <w:color w:val="auto"/>
        </w:rPr>
      </w:pPr>
      <w:r>
        <w:rPr>
          <w:color w:val="auto"/>
        </w:rPr>
        <w:t>合同签署页。</w:t>
      </w:r>
    </w:p>
    <w:p w14:paraId="613A8B9E">
      <w:pPr>
        <w:pStyle w:val="12"/>
        <w:widowControl/>
        <w:ind w:left="0" w:leftChars="0" w:firstLine="480" w:firstLineChars="200"/>
        <w:rPr>
          <w:color w:val="auto"/>
        </w:rPr>
      </w:pPr>
    </w:p>
    <w:p w14:paraId="011D60BC">
      <w:pPr>
        <w:pStyle w:val="12"/>
        <w:widowControl/>
        <w:ind w:left="0" w:leftChars="0" w:firstLine="480" w:firstLineChars="200"/>
        <w:rPr>
          <w:color w:val="auto"/>
        </w:rPr>
      </w:pPr>
      <w:r>
        <w:rPr>
          <w:color w:val="auto"/>
        </w:rPr>
        <w:t>甲方（盖章）：</w:t>
      </w:r>
    </w:p>
    <w:p w14:paraId="2B714893">
      <w:pPr>
        <w:pStyle w:val="12"/>
        <w:widowControl/>
        <w:ind w:left="0" w:leftChars="0" w:firstLine="480" w:firstLineChars="200"/>
        <w:rPr>
          <w:color w:val="auto"/>
        </w:rPr>
      </w:pPr>
    </w:p>
    <w:p w14:paraId="4F198E11">
      <w:pPr>
        <w:pStyle w:val="12"/>
        <w:widowControl/>
        <w:ind w:left="0" w:leftChars="0" w:firstLine="480" w:firstLineChars="200"/>
        <w:rPr>
          <w:color w:val="auto"/>
        </w:rPr>
      </w:pPr>
      <w:r>
        <w:rPr>
          <w:color w:val="auto"/>
        </w:rPr>
        <w:t>法定代表人或授权代表（签署）：</w:t>
      </w:r>
    </w:p>
    <w:p w14:paraId="3D62CF64">
      <w:pPr>
        <w:pStyle w:val="12"/>
        <w:widowControl/>
        <w:ind w:left="0" w:leftChars="0" w:firstLine="480" w:firstLineChars="200"/>
        <w:rPr>
          <w:color w:val="auto"/>
        </w:rPr>
      </w:pPr>
    </w:p>
    <w:p w14:paraId="27113155">
      <w:pPr>
        <w:pStyle w:val="12"/>
        <w:widowControl/>
        <w:ind w:left="0" w:leftChars="0" w:firstLine="480" w:firstLineChars="200"/>
        <w:rPr>
          <w:color w:val="auto"/>
        </w:rPr>
      </w:pPr>
      <w:r>
        <w:rPr>
          <w:color w:val="auto"/>
        </w:rPr>
        <w:t>联系电话：</w:t>
      </w:r>
    </w:p>
    <w:p w14:paraId="76AD3434">
      <w:pPr>
        <w:pStyle w:val="12"/>
        <w:widowControl/>
        <w:ind w:left="0" w:leftChars="0" w:firstLine="480" w:firstLineChars="200"/>
      </w:pPr>
      <w:r>
        <w:rPr>
          <w:color w:val="auto"/>
        </w:rPr>
        <w:t>联系地址：</w:t>
      </w:r>
    </w:p>
    <w:p w14:paraId="067AA894">
      <w:pPr>
        <w:pStyle w:val="12"/>
        <w:widowControl/>
        <w:ind w:left="0" w:leftChars="0" w:firstLine="480" w:firstLineChars="200"/>
        <w:rPr>
          <w:color w:val="auto"/>
        </w:rPr>
      </w:pPr>
    </w:p>
    <w:p w14:paraId="02C828D9">
      <w:pPr>
        <w:pStyle w:val="12"/>
        <w:widowControl/>
        <w:ind w:left="0" w:leftChars="0" w:firstLine="480" w:firstLineChars="200"/>
        <w:rPr>
          <w:color w:val="auto"/>
        </w:rPr>
      </w:pPr>
    </w:p>
    <w:p w14:paraId="0C4AB16D">
      <w:pPr>
        <w:pStyle w:val="12"/>
        <w:widowControl/>
        <w:ind w:left="0" w:leftChars="0" w:firstLine="480" w:firstLineChars="200"/>
        <w:rPr>
          <w:color w:val="auto"/>
        </w:rPr>
      </w:pPr>
      <w:r>
        <w:rPr>
          <w:color w:val="auto"/>
        </w:rPr>
        <w:t>乙方（盖章）：</w:t>
      </w:r>
    </w:p>
    <w:p w14:paraId="3176533D">
      <w:pPr>
        <w:pStyle w:val="12"/>
        <w:widowControl/>
        <w:ind w:left="0" w:leftChars="0" w:firstLine="480" w:firstLineChars="200"/>
        <w:rPr>
          <w:color w:val="auto"/>
        </w:rPr>
      </w:pPr>
    </w:p>
    <w:p w14:paraId="56C95CB6">
      <w:pPr>
        <w:pStyle w:val="12"/>
        <w:widowControl/>
        <w:ind w:left="0" w:leftChars="0" w:firstLine="480" w:firstLineChars="200"/>
        <w:rPr>
          <w:color w:val="auto"/>
        </w:rPr>
      </w:pPr>
      <w:r>
        <w:rPr>
          <w:color w:val="auto"/>
        </w:rPr>
        <w:t>法定代表人或授权代表（签署）</w:t>
      </w:r>
    </w:p>
    <w:p w14:paraId="4A82AB5F">
      <w:pPr>
        <w:pStyle w:val="12"/>
        <w:widowControl/>
        <w:ind w:left="0" w:leftChars="0" w:firstLine="480" w:firstLineChars="200"/>
        <w:rPr>
          <w:color w:val="auto"/>
        </w:rPr>
      </w:pPr>
    </w:p>
    <w:p w14:paraId="492C405C">
      <w:pPr>
        <w:pStyle w:val="12"/>
        <w:widowControl/>
        <w:ind w:left="0" w:leftChars="0" w:firstLine="480" w:firstLineChars="200"/>
        <w:rPr>
          <w:color w:val="auto"/>
        </w:rPr>
      </w:pPr>
      <w:r>
        <w:rPr>
          <w:color w:val="auto"/>
        </w:rPr>
        <w:t>联系电话：</w:t>
      </w:r>
    </w:p>
    <w:p w14:paraId="0CEFC2AE">
      <w:pPr>
        <w:pStyle w:val="12"/>
        <w:widowControl/>
        <w:ind w:left="0" w:leftChars="0" w:firstLine="480" w:firstLineChars="200"/>
        <w:rPr>
          <w:rFonts w:hint="eastAsia"/>
        </w:rPr>
      </w:pPr>
      <w:r>
        <w:rPr>
          <w:color w:val="auto"/>
        </w:rPr>
        <w:t>联系地址：</w:t>
      </w:r>
    </w:p>
    <w:sectPr>
      <w:footerReference r:id="rId5" w:type="default"/>
      <w:pgSz w:w="11910" w:h="16840"/>
      <w:pgMar w:top="1440" w:right="1800" w:bottom="1440" w:left="1800" w:header="0" w:footer="104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21763CF8-AF3E-4710-B674-775198025B93}"/>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9D823551-34A4-43BF-9FCA-4A7D059EC6C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CA5C6">
    <w:pPr>
      <w:pStyle w:val="12"/>
      <w:spacing w:line="209" w:lineRule="auto"/>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59BBCF"/>
    <w:multiLevelType w:val="singleLevel"/>
    <w:tmpl w:val="9359BBCF"/>
    <w:lvl w:ilvl="0" w:tentative="0">
      <w:start w:val="9"/>
      <w:numFmt w:val="chineseCounting"/>
      <w:lvlText w:val="第%1条"/>
      <w:lvlJc w:val="left"/>
      <w:pPr>
        <w:tabs>
          <w:tab w:val="left" w:pos="210"/>
        </w:tabs>
        <w:ind w:left="0" w:firstLine="0"/>
      </w:pPr>
      <w:rPr>
        <w:rFonts w:hint="eastAsia"/>
      </w:rPr>
    </w:lvl>
  </w:abstractNum>
  <w:abstractNum w:abstractNumId="1">
    <w:nsid w:val="A93E7AF9"/>
    <w:multiLevelType w:val="singleLevel"/>
    <w:tmpl w:val="A93E7AF9"/>
    <w:lvl w:ilvl="0" w:tentative="0">
      <w:start w:val="1"/>
      <w:numFmt w:val="decimal"/>
      <w:suff w:val="nothing"/>
      <w:lvlText w:val="（%1）"/>
      <w:lvlJc w:val="left"/>
      <w:pPr>
        <w:ind w:left="0" w:firstLine="480"/>
      </w:pPr>
      <w:rPr>
        <w:rFonts w:hint="default"/>
      </w:rPr>
    </w:lvl>
  </w:abstractNum>
  <w:abstractNum w:abstractNumId="2">
    <w:nsid w:val="AF6D739F"/>
    <w:multiLevelType w:val="singleLevel"/>
    <w:tmpl w:val="AF6D739F"/>
    <w:lvl w:ilvl="0" w:tentative="0">
      <w:start w:val="1"/>
      <w:numFmt w:val="decimal"/>
      <w:lvlText w:val="%1."/>
      <w:lvlJc w:val="left"/>
      <w:pPr>
        <w:tabs>
          <w:tab w:val="left" w:pos="210"/>
        </w:tabs>
        <w:ind w:left="0" w:firstLine="480"/>
      </w:pPr>
      <w:rPr>
        <w:rFonts w:hint="default"/>
      </w:rPr>
    </w:lvl>
  </w:abstractNum>
  <w:abstractNum w:abstractNumId="3">
    <w:nsid w:val="B058DF15"/>
    <w:multiLevelType w:val="singleLevel"/>
    <w:tmpl w:val="B058DF15"/>
    <w:lvl w:ilvl="0" w:tentative="0">
      <w:start w:val="24"/>
      <w:numFmt w:val="chineseCounting"/>
      <w:lvlText w:val="第%1条"/>
      <w:lvlJc w:val="left"/>
      <w:pPr>
        <w:tabs>
          <w:tab w:val="left" w:pos="210"/>
        </w:tabs>
        <w:ind w:left="0" w:firstLine="480"/>
      </w:pPr>
      <w:rPr>
        <w:rFonts w:hint="eastAsia"/>
      </w:rPr>
    </w:lvl>
  </w:abstractNum>
  <w:abstractNum w:abstractNumId="4">
    <w:nsid w:val="B9E114EF"/>
    <w:multiLevelType w:val="singleLevel"/>
    <w:tmpl w:val="B9E114EF"/>
    <w:lvl w:ilvl="0" w:tentative="0">
      <w:start w:val="1"/>
      <w:numFmt w:val="decimal"/>
      <w:suff w:val="space"/>
      <w:lvlText w:val="%1."/>
      <w:lvlJc w:val="left"/>
      <w:pPr>
        <w:ind w:left="0" w:firstLine="480"/>
      </w:pPr>
      <w:rPr>
        <w:rFonts w:hint="default"/>
      </w:rPr>
    </w:lvl>
  </w:abstractNum>
  <w:abstractNum w:abstractNumId="5">
    <w:nsid w:val="C4BD62C6"/>
    <w:multiLevelType w:val="singleLevel"/>
    <w:tmpl w:val="C4BD62C6"/>
    <w:lvl w:ilvl="0" w:tentative="0">
      <w:start w:val="1"/>
      <w:numFmt w:val="decimal"/>
      <w:lvlText w:val="%1."/>
      <w:lvlJc w:val="left"/>
      <w:pPr>
        <w:tabs>
          <w:tab w:val="left" w:pos="210"/>
        </w:tabs>
        <w:ind w:left="0" w:firstLine="480"/>
      </w:pPr>
      <w:rPr>
        <w:rFonts w:hint="default"/>
      </w:rPr>
    </w:lvl>
  </w:abstractNum>
  <w:abstractNum w:abstractNumId="6">
    <w:nsid w:val="CCA5B6B2"/>
    <w:multiLevelType w:val="singleLevel"/>
    <w:tmpl w:val="CCA5B6B2"/>
    <w:lvl w:ilvl="0" w:tentative="0">
      <w:start w:val="17"/>
      <w:numFmt w:val="chineseCounting"/>
      <w:lvlText w:val="第%1条"/>
      <w:lvlJc w:val="left"/>
      <w:pPr>
        <w:tabs>
          <w:tab w:val="left" w:pos="210"/>
        </w:tabs>
        <w:ind w:left="0" w:firstLine="482"/>
      </w:pPr>
      <w:rPr>
        <w:rFonts w:hint="eastAsia"/>
      </w:rPr>
    </w:lvl>
  </w:abstractNum>
  <w:abstractNum w:abstractNumId="7">
    <w:nsid w:val="D2AD72AA"/>
    <w:multiLevelType w:val="singleLevel"/>
    <w:tmpl w:val="D2AD72AA"/>
    <w:lvl w:ilvl="0" w:tentative="0">
      <w:start w:val="1"/>
      <w:numFmt w:val="decimal"/>
      <w:suff w:val="nothing"/>
      <w:lvlText w:val="（%1）"/>
      <w:lvlJc w:val="left"/>
      <w:pPr>
        <w:ind w:left="0" w:firstLine="480"/>
      </w:pPr>
      <w:rPr>
        <w:rFonts w:hint="default"/>
      </w:rPr>
    </w:lvl>
  </w:abstractNum>
  <w:abstractNum w:abstractNumId="8">
    <w:nsid w:val="D2CA2836"/>
    <w:multiLevelType w:val="singleLevel"/>
    <w:tmpl w:val="D2CA2836"/>
    <w:lvl w:ilvl="0" w:tentative="0">
      <w:start w:val="1"/>
      <w:numFmt w:val="decimal"/>
      <w:suff w:val="nothing"/>
      <w:lvlText w:val="（%1）"/>
      <w:lvlJc w:val="left"/>
      <w:pPr>
        <w:ind w:left="0" w:firstLine="480"/>
      </w:pPr>
      <w:rPr>
        <w:rFonts w:hint="default"/>
      </w:rPr>
    </w:lvl>
  </w:abstractNum>
  <w:abstractNum w:abstractNumId="9">
    <w:nsid w:val="F32E5D17"/>
    <w:multiLevelType w:val="singleLevel"/>
    <w:tmpl w:val="F32E5D17"/>
    <w:lvl w:ilvl="0" w:tentative="0">
      <w:start w:val="1"/>
      <w:numFmt w:val="decimal"/>
      <w:lvlText w:val="%1."/>
      <w:lvlJc w:val="left"/>
      <w:pPr>
        <w:tabs>
          <w:tab w:val="left" w:pos="210"/>
        </w:tabs>
        <w:ind w:left="0" w:firstLine="480"/>
      </w:pPr>
      <w:rPr>
        <w:rFonts w:hint="default"/>
      </w:rPr>
    </w:lvl>
  </w:abstractNum>
  <w:abstractNum w:abstractNumId="10">
    <w:nsid w:val="F46C3587"/>
    <w:multiLevelType w:val="singleLevel"/>
    <w:tmpl w:val="F46C3587"/>
    <w:lvl w:ilvl="0" w:tentative="0">
      <w:start w:val="1"/>
      <w:numFmt w:val="decimal"/>
      <w:lvlText w:val="%1."/>
      <w:lvlJc w:val="left"/>
      <w:pPr>
        <w:tabs>
          <w:tab w:val="left" w:pos="210"/>
        </w:tabs>
        <w:ind w:left="0" w:firstLine="480"/>
      </w:pPr>
      <w:rPr>
        <w:rFonts w:hint="default"/>
      </w:rPr>
    </w:lvl>
  </w:abstractNum>
  <w:abstractNum w:abstractNumId="11">
    <w:nsid w:val="F85CB99A"/>
    <w:multiLevelType w:val="singleLevel"/>
    <w:tmpl w:val="F85CB99A"/>
    <w:lvl w:ilvl="0" w:tentative="0">
      <w:start w:val="1"/>
      <w:numFmt w:val="decimal"/>
      <w:suff w:val="nothing"/>
      <w:lvlText w:val="（%1）"/>
      <w:lvlJc w:val="left"/>
      <w:pPr>
        <w:ind w:left="0" w:firstLine="480"/>
      </w:pPr>
      <w:rPr>
        <w:rFonts w:hint="default"/>
      </w:rPr>
    </w:lvl>
  </w:abstractNum>
  <w:abstractNum w:abstractNumId="12">
    <w:nsid w:val="FA826027"/>
    <w:multiLevelType w:val="singleLevel"/>
    <w:tmpl w:val="FA826027"/>
    <w:lvl w:ilvl="0" w:tentative="0">
      <w:start w:val="2"/>
      <w:numFmt w:val="decimalEnclosedCircleChinese"/>
      <w:lvlText w:val="%1"/>
      <w:lvlJc w:val="left"/>
      <w:pPr>
        <w:tabs>
          <w:tab w:val="left" w:pos="210"/>
        </w:tabs>
        <w:ind w:left="0" w:firstLine="480"/>
      </w:pPr>
      <w:rPr>
        <w:rFonts w:hint="eastAsia"/>
      </w:rPr>
    </w:lvl>
  </w:abstractNum>
  <w:abstractNum w:abstractNumId="13">
    <w:nsid w:val="136398C9"/>
    <w:multiLevelType w:val="singleLevel"/>
    <w:tmpl w:val="136398C9"/>
    <w:lvl w:ilvl="0" w:tentative="0">
      <w:start w:val="1"/>
      <w:numFmt w:val="decimal"/>
      <w:suff w:val="space"/>
      <w:lvlText w:val="%1."/>
      <w:lvlJc w:val="left"/>
      <w:pPr>
        <w:ind w:left="0" w:firstLine="480"/>
      </w:pPr>
      <w:rPr>
        <w:rFonts w:hint="default"/>
      </w:rPr>
    </w:lvl>
  </w:abstractNum>
  <w:abstractNum w:abstractNumId="14">
    <w:nsid w:val="19CBECA3"/>
    <w:multiLevelType w:val="singleLevel"/>
    <w:tmpl w:val="19CBECA3"/>
    <w:lvl w:ilvl="0" w:tentative="0">
      <w:start w:val="1"/>
      <w:numFmt w:val="decimal"/>
      <w:lvlText w:val="%1."/>
      <w:lvlJc w:val="left"/>
      <w:pPr>
        <w:tabs>
          <w:tab w:val="left" w:pos="210"/>
        </w:tabs>
        <w:ind w:left="0" w:firstLine="480"/>
      </w:pPr>
      <w:rPr>
        <w:rFonts w:hint="default"/>
      </w:rPr>
    </w:lvl>
  </w:abstractNum>
  <w:abstractNum w:abstractNumId="15">
    <w:nsid w:val="49B562A1"/>
    <w:multiLevelType w:val="singleLevel"/>
    <w:tmpl w:val="49B562A1"/>
    <w:lvl w:ilvl="0" w:tentative="0">
      <w:start w:val="1"/>
      <w:numFmt w:val="decimal"/>
      <w:suff w:val="nothing"/>
      <w:lvlText w:val="（%1）"/>
      <w:lvlJc w:val="left"/>
      <w:pPr>
        <w:ind w:left="0" w:firstLine="480"/>
      </w:pPr>
      <w:rPr>
        <w:rFonts w:hint="default"/>
      </w:rPr>
    </w:lvl>
  </w:abstractNum>
  <w:abstractNum w:abstractNumId="16">
    <w:nsid w:val="4C26621F"/>
    <w:multiLevelType w:val="singleLevel"/>
    <w:tmpl w:val="4C26621F"/>
    <w:lvl w:ilvl="0" w:tentative="0">
      <w:start w:val="1"/>
      <w:numFmt w:val="chineseCounting"/>
      <w:lvlText w:val="第%1条"/>
      <w:lvlJc w:val="left"/>
      <w:pPr>
        <w:tabs>
          <w:tab w:val="left" w:pos="210"/>
        </w:tabs>
        <w:ind w:left="0" w:firstLine="0"/>
      </w:pPr>
      <w:rPr>
        <w:rFonts w:hint="eastAsia"/>
      </w:rPr>
    </w:lvl>
  </w:abstractNum>
  <w:abstractNum w:abstractNumId="17">
    <w:nsid w:val="5A8D97E3"/>
    <w:multiLevelType w:val="singleLevel"/>
    <w:tmpl w:val="5A8D97E3"/>
    <w:lvl w:ilvl="0" w:tentative="0">
      <w:start w:val="21"/>
      <w:numFmt w:val="chineseCounting"/>
      <w:lvlText w:val="第%1条"/>
      <w:lvlJc w:val="left"/>
      <w:pPr>
        <w:tabs>
          <w:tab w:val="left" w:pos="210"/>
        </w:tabs>
        <w:ind w:left="0" w:firstLine="482"/>
      </w:pPr>
      <w:rPr>
        <w:rFonts w:hint="eastAsia"/>
      </w:rPr>
    </w:lvl>
  </w:abstractNum>
  <w:abstractNum w:abstractNumId="18">
    <w:nsid w:val="638E88D8"/>
    <w:multiLevelType w:val="singleLevel"/>
    <w:tmpl w:val="638E88D8"/>
    <w:lvl w:ilvl="0" w:tentative="0">
      <w:start w:val="15"/>
      <w:numFmt w:val="chineseCounting"/>
      <w:lvlText w:val="第%1条"/>
      <w:lvlJc w:val="left"/>
      <w:pPr>
        <w:tabs>
          <w:tab w:val="left" w:pos="210"/>
        </w:tabs>
        <w:ind w:left="0" w:firstLine="0"/>
      </w:pPr>
      <w:rPr>
        <w:rFonts w:hint="eastAsia"/>
      </w:rPr>
    </w:lvl>
  </w:abstractNum>
  <w:abstractNum w:abstractNumId="19">
    <w:nsid w:val="785F9AE3"/>
    <w:multiLevelType w:val="singleLevel"/>
    <w:tmpl w:val="785F9AE3"/>
    <w:lvl w:ilvl="0" w:tentative="0">
      <w:start w:val="1"/>
      <w:numFmt w:val="chineseCounting"/>
      <w:lvlText w:val="第%1章"/>
      <w:lvlJc w:val="left"/>
      <w:pPr>
        <w:tabs>
          <w:tab w:val="left" w:pos="210"/>
        </w:tabs>
        <w:ind w:left="0" w:firstLine="0"/>
      </w:pPr>
      <w:rPr>
        <w:rFonts w:hint="eastAsia"/>
      </w:rPr>
    </w:lvl>
  </w:abstractNum>
  <w:abstractNum w:abstractNumId="20">
    <w:nsid w:val="7FF0A8C9"/>
    <w:multiLevelType w:val="singleLevel"/>
    <w:tmpl w:val="7FF0A8C9"/>
    <w:lvl w:ilvl="0" w:tentative="0">
      <w:start w:val="1"/>
      <w:numFmt w:val="decimal"/>
      <w:lvlText w:val="%1."/>
      <w:lvlJc w:val="left"/>
      <w:pPr>
        <w:tabs>
          <w:tab w:val="left" w:pos="210"/>
        </w:tabs>
        <w:ind w:left="0" w:firstLine="480"/>
      </w:pPr>
      <w:rPr>
        <w:rFonts w:hint="default"/>
      </w:rPr>
    </w:lvl>
  </w:abstractNum>
  <w:num w:numId="1">
    <w:abstractNumId w:val="19"/>
  </w:num>
  <w:num w:numId="2">
    <w:abstractNumId w:val="16"/>
  </w:num>
  <w:num w:numId="3">
    <w:abstractNumId w:val="13"/>
  </w:num>
  <w:num w:numId="4">
    <w:abstractNumId w:val="1"/>
  </w:num>
  <w:num w:numId="5">
    <w:abstractNumId w:val="15"/>
  </w:num>
  <w:num w:numId="6">
    <w:abstractNumId w:val="4"/>
  </w:num>
  <w:num w:numId="7">
    <w:abstractNumId w:val="0"/>
  </w:num>
  <w:num w:numId="8">
    <w:abstractNumId w:val="20"/>
  </w:num>
  <w:num w:numId="9">
    <w:abstractNumId w:val="11"/>
  </w:num>
  <w:num w:numId="10">
    <w:abstractNumId w:val="12"/>
  </w:num>
  <w:num w:numId="11">
    <w:abstractNumId w:val="5"/>
  </w:num>
  <w:num w:numId="12">
    <w:abstractNumId w:val="14"/>
  </w:num>
  <w:num w:numId="13">
    <w:abstractNumId w:val="8"/>
  </w:num>
  <w:num w:numId="14">
    <w:abstractNumId w:val="2"/>
  </w:num>
  <w:num w:numId="15">
    <w:abstractNumId w:val="18"/>
  </w:num>
  <w:num w:numId="16">
    <w:abstractNumId w:val="10"/>
  </w:num>
  <w:num w:numId="17">
    <w:abstractNumId w:val="9"/>
  </w:num>
  <w:num w:numId="18">
    <w:abstractNumId w:val="7"/>
  </w:num>
  <w:num w:numId="19">
    <w:abstractNumId w:val="6"/>
  </w:num>
  <w:num w:numId="20">
    <w:abstractNumId w:val="17"/>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TrueTypeFonts/>
  <w:saveSubsetFonts/>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1E96293"/>
    <w:rsid w:val="03324399"/>
    <w:rsid w:val="086F1438"/>
    <w:rsid w:val="0A173A74"/>
    <w:rsid w:val="0A71049E"/>
    <w:rsid w:val="0FEC732E"/>
    <w:rsid w:val="1178129C"/>
    <w:rsid w:val="17163A31"/>
    <w:rsid w:val="25981FCD"/>
    <w:rsid w:val="29930F11"/>
    <w:rsid w:val="351D0231"/>
    <w:rsid w:val="3590608A"/>
    <w:rsid w:val="37492BA6"/>
    <w:rsid w:val="376E7231"/>
    <w:rsid w:val="39B2742F"/>
    <w:rsid w:val="438B36A9"/>
    <w:rsid w:val="440E3217"/>
    <w:rsid w:val="45CA5863"/>
    <w:rsid w:val="4A421EF0"/>
    <w:rsid w:val="4C343A36"/>
    <w:rsid w:val="4DCE3A17"/>
    <w:rsid w:val="4F3F2E1E"/>
    <w:rsid w:val="55B654BC"/>
    <w:rsid w:val="58F05189"/>
    <w:rsid w:val="5E9A2814"/>
    <w:rsid w:val="61B50D1E"/>
    <w:rsid w:val="61EA7E36"/>
    <w:rsid w:val="659C0875"/>
    <w:rsid w:val="69A25A48"/>
    <w:rsid w:val="70C573B0"/>
    <w:rsid w:val="795F5CE7"/>
    <w:rsid w:val="7B1F572E"/>
    <w:rsid w:val="7BBF0CBF"/>
    <w:rsid w:val="7E89111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next w:val="1"/>
    <w:qFormat/>
    <w:uiPriority w:val="0"/>
    <w:pPr>
      <w:keepNext w:val="0"/>
      <w:keepLines w:val="0"/>
      <w:widowControl w:val="0"/>
      <w:spacing w:before="240" w:beforeLines="0" w:after="120" w:afterLines="0" w:line="360" w:lineRule="auto"/>
      <w:jc w:val="left"/>
      <w:outlineLvl w:val="0"/>
    </w:pPr>
    <w:rPr>
      <w:rFonts w:ascii="宋体" w:hAnsi="宋体" w:eastAsia="宋体" w:cs="宋体"/>
      <w:b/>
      <w:bCs/>
      <w:kern w:val="44"/>
      <w:sz w:val="24"/>
      <w:szCs w:val="30"/>
    </w:rPr>
  </w:style>
  <w:style w:type="paragraph" w:styleId="4">
    <w:name w:val="heading 2"/>
    <w:next w:val="1"/>
    <w:qFormat/>
    <w:uiPriority w:val="0"/>
    <w:pPr>
      <w:keepNext w:val="0"/>
      <w:keepLines w:val="0"/>
      <w:widowControl w:val="0"/>
      <w:spacing w:before="120" w:beforeAutospacing="0" w:after="120" w:afterAutospacing="0" w:line="360" w:lineRule="auto"/>
      <w:jc w:val="left"/>
      <w:outlineLvl w:val="1"/>
    </w:pPr>
    <w:rPr>
      <w:rFonts w:ascii="Times New Roman" w:hAnsi="Times New Roman" w:eastAsia="宋体" w:cs="Times New Roman"/>
      <w:b/>
      <w:sz w:val="24"/>
    </w:rPr>
  </w:style>
  <w:style w:type="paragraph" w:styleId="5">
    <w:name w:val="heading 3"/>
    <w:next w:val="1"/>
    <w:unhideWhenUsed/>
    <w:qFormat/>
    <w:uiPriority w:val="0"/>
    <w:pPr>
      <w:keepNext w:val="0"/>
      <w:keepLines w:val="0"/>
      <w:widowControl w:val="0"/>
      <w:spacing w:beforeAutospacing="0" w:after="120" w:afterAutospacing="0" w:line="300" w:lineRule="auto"/>
      <w:jc w:val="left"/>
      <w:outlineLvl w:val="2"/>
    </w:pPr>
    <w:rPr>
      <w:rFonts w:ascii="Times New Roman" w:hAnsi="Times New Roman" w:eastAsia="宋体" w:cs="Times New Roman"/>
      <w:sz w:val="24"/>
    </w:rPr>
  </w:style>
  <w:style w:type="paragraph" w:styleId="6">
    <w:name w:val="heading 4"/>
    <w:next w:val="1"/>
    <w:semiHidden/>
    <w:unhideWhenUsed/>
    <w:qFormat/>
    <w:uiPriority w:val="0"/>
    <w:pPr>
      <w:keepNext w:val="0"/>
      <w:keepLines w:val="0"/>
      <w:widowControl w:val="0"/>
      <w:spacing w:beforeAutospacing="0" w:after="120" w:afterAutospacing="0" w:line="300" w:lineRule="auto"/>
      <w:outlineLvl w:val="3"/>
    </w:pPr>
    <w:rPr>
      <w:rFonts w:ascii="Times New Roman" w:hAnsi="Times New Roman" w:eastAsia="宋体" w:cs="Times New Roman"/>
      <w:sz w:val="24"/>
    </w:rPr>
  </w:style>
  <w:style w:type="paragraph" w:styleId="7">
    <w:name w:val="heading 5"/>
    <w:next w:val="1"/>
    <w:semiHidden/>
    <w:unhideWhenUsed/>
    <w:qFormat/>
    <w:uiPriority w:val="0"/>
    <w:pPr>
      <w:keepNext w:val="0"/>
      <w:keepLines w:val="0"/>
      <w:spacing w:beforeLines="0" w:beforeAutospacing="0" w:after="120" w:afterLines="0" w:afterAutospacing="0" w:line="300" w:lineRule="auto"/>
      <w:jc w:val="left"/>
      <w:outlineLvl w:val="4"/>
    </w:pPr>
    <w:rPr>
      <w:rFonts w:ascii="Times New Roman" w:hAnsi="Times New Roman" w:eastAsia="宋体" w:cs="Times New Roman"/>
      <w:sz w:val="24"/>
    </w:rPr>
  </w:style>
  <w:style w:type="paragraph" w:styleId="8">
    <w:name w:val="heading 6"/>
    <w:next w:val="1"/>
    <w:semiHidden/>
    <w:unhideWhenUsed/>
    <w:qFormat/>
    <w:uiPriority w:val="0"/>
    <w:pPr>
      <w:keepNext w:val="0"/>
      <w:keepLines w:val="0"/>
      <w:spacing w:beforeLines="0" w:beforeAutospacing="0" w:after="120" w:afterLines="0" w:afterAutospacing="0" w:line="300" w:lineRule="auto"/>
      <w:jc w:val="left"/>
      <w:outlineLvl w:val="5"/>
    </w:pPr>
    <w:rPr>
      <w:rFonts w:ascii="Times New Roman" w:hAnsi="Times New Roman" w:eastAsia="宋体" w:cs="Times New Roman"/>
      <w:sz w:val="24"/>
    </w:rPr>
  </w:style>
  <w:style w:type="paragraph" w:styleId="9">
    <w:name w:val="heading 7"/>
    <w:next w:val="1"/>
    <w:semiHidden/>
    <w:unhideWhenUsed/>
    <w:qFormat/>
    <w:uiPriority w:val="0"/>
    <w:pPr>
      <w:keepNext w:val="0"/>
      <w:keepLines w:val="0"/>
      <w:spacing w:beforeLines="0" w:beforeAutospacing="0" w:after="120" w:afterLines="0" w:afterAutospacing="0" w:line="300" w:lineRule="auto"/>
      <w:jc w:val="left"/>
      <w:outlineLvl w:val="6"/>
    </w:pPr>
    <w:rPr>
      <w:rFonts w:ascii="Times New Roman" w:hAnsi="Times New Roman" w:eastAsia="宋体" w:cs="Times New Roman"/>
      <w:sz w:val="24"/>
    </w:rPr>
  </w:style>
  <w:style w:type="paragraph" w:styleId="10">
    <w:name w:val="heading 8"/>
    <w:next w:val="1"/>
    <w:semiHidden/>
    <w:unhideWhenUsed/>
    <w:qFormat/>
    <w:uiPriority w:val="0"/>
    <w:pPr>
      <w:keepNext w:val="0"/>
      <w:keepLines w:val="0"/>
      <w:spacing w:beforeLines="0" w:beforeAutospacing="0" w:after="120" w:afterLines="0" w:afterAutospacing="0" w:line="300" w:lineRule="auto"/>
      <w:jc w:val="left"/>
      <w:outlineLvl w:val="7"/>
    </w:pPr>
    <w:rPr>
      <w:rFonts w:ascii="Times New Roman" w:hAnsi="Times New Roman" w:eastAsia="宋体" w:cs="Times New Roman"/>
      <w:sz w:val="24"/>
    </w:rPr>
  </w:style>
  <w:style w:type="paragraph" w:styleId="11">
    <w:name w:val="heading 9"/>
    <w:next w:val="1"/>
    <w:semiHidden/>
    <w:unhideWhenUsed/>
    <w:qFormat/>
    <w:uiPriority w:val="0"/>
    <w:pPr>
      <w:keepNext w:val="0"/>
      <w:keepLines w:val="0"/>
      <w:spacing w:beforeLines="0" w:beforeAutospacing="0" w:after="120" w:afterLines="0" w:afterAutospacing="0" w:line="300" w:lineRule="auto"/>
      <w:jc w:val="left"/>
      <w:outlineLvl w:val="8"/>
    </w:pPr>
    <w:rPr>
      <w:rFonts w:ascii="Times New Roman" w:hAnsi="Times New Roman" w:eastAsia="宋体" w:cs="Times New Roman"/>
      <w:sz w:val="24"/>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spacing w:line="365" w:lineRule="atLeast"/>
      <w:ind w:left="420" w:leftChars="200"/>
      <w:textAlignment w:val="bottom"/>
    </w:pPr>
    <w:rPr>
      <w:kern w:val="0"/>
    </w:rPr>
  </w:style>
  <w:style w:type="paragraph" w:styleId="12">
    <w:name w:val="Body Text"/>
    <w:semiHidden/>
    <w:qFormat/>
    <w:uiPriority w:val="0"/>
    <w:pPr>
      <w:spacing w:after="120" w:afterAutospacing="0" w:line="300" w:lineRule="auto"/>
      <w:ind w:firstLine="420" w:firstLineChars="200"/>
    </w:pPr>
    <w:rPr>
      <w:rFonts w:ascii="Times New Roman" w:hAnsi="Times New Roman" w:eastAsia="宋体" w:cs="Times New Roman"/>
      <w:sz w:val="24"/>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Subtitle"/>
    <w:qFormat/>
    <w:uiPriority w:val="0"/>
    <w:pPr>
      <w:widowControl w:val="0"/>
      <w:spacing w:before="120" w:beforeLines="0" w:beforeAutospacing="0" w:after="240" w:afterAutospacing="0" w:line="360" w:lineRule="auto"/>
      <w:jc w:val="center"/>
      <w:outlineLvl w:val="9"/>
    </w:pPr>
    <w:rPr>
      <w:rFonts w:ascii="Calibri" w:hAnsi="Calibri" w:eastAsia="宋体" w:cs="Times New Roman"/>
      <w:b/>
      <w:kern w:val="28"/>
      <w:sz w:val="24"/>
    </w:rPr>
  </w:style>
  <w:style w:type="paragraph" w:styleId="15">
    <w:name w:val="Title"/>
    <w:qFormat/>
    <w:uiPriority w:val="0"/>
    <w:pPr>
      <w:widowControl w:val="0"/>
      <w:spacing w:beforeAutospacing="0" w:afterAutospacing="0" w:line="360" w:lineRule="auto"/>
      <w:jc w:val="center"/>
      <w:outlineLvl w:val="9"/>
    </w:pPr>
    <w:rPr>
      <w:rFonts w:ascii="Times New Roman" w:hAnsi="Times New Roman" w:eastAsia="黑体" w:cs="Times New Roman"/>
      <w:sz w:val="44"/>
    </w:rPr>
  </w:style>
  <w:style w:type="table" w:customStyle="1" w:styleId="18">
    <w:name w:val="Table Normal"/>
    <w:semiHidden/>
    <w:unhideWhenUsed/>
    <w:qFormat/>
    <w:uiPriority w:val="0"/>
    <w:tblPr>
      <w:tblCellMar>
        <w:top w:w="0" w:type="dxa"/>
        <w:left w:w="0" w:type="dxa"/>
        <w:bottom w:w="0" w:type="dxa"/>
        <w:right w:w="0" w:type="dxa"/>
      </w:tblCellMar>
    </w:tblPr>
  </w:style>
  <w:style w:type="paragraph" w:customStyle="1" w:styleId="19">
    <w:name w:val="Table Text"/>
    <w:basedOn w:val="1"/>
    <w:semiHidden/>
    <w:qFormat/>
    <w:uiPriority w:val="0"/>
    <w:rPr>
      <w:rFonts w:ascii="宋体" w:hAnsi="宋体" w:eastAsia="宋体" w:cs="宋体"/>
      <w:sz w:val="25"/>
      <w:szCs w:val="25"/>
      <w:lang w:val="en-US" w:eastAsia="en-US" w:bidi="ar-SA"/>
    </w:rPr>
  </w:style>
  <w:style w:type="paragraph" w:customStyle="1" w:styleId="20">
    <w:name w:val="章节标题"/>
    <w:next w:val="1"/>
    <w:qFormat/>
    <w:uiPriority w:val="0"/>
    <w:pPr>
      <w:pageBreakBefore w:val="0"/>
      <w:widowControl w:val="0"/>
      <w:spacing w:before="240" w:after="240" w:line="360" w:lineRule="auto"/>
      <w:jc w:val="center"/>
      <w:outlineLvl w:val="0"/>
    </w:pPr>
    <w:rPr>
      <w:rFonts w:ascii="Times New Roman" w:hAnsi="Times New Roman" w:eastAsia="黑体" w:cs="Times New Roman"/>
      <w:kern w:val="44"/>
      <w:sz w:val="30"/>
      <w:szCs w:val="36"/>
    </w:rPr>
  </w:style>
  <w:style w:type="paragraph" w:customStyle="1" w:styleId="21">
    <w:name w:val="文档说明标题"/>
    <w:next w:val="1"/>
    <w:qFormat/>
    <w:uiPriority w:val="0"/>
    <w:pPr>
      <w:keepNext w:val="0"/>
      <w:keepLines w:val="0"/>
      <w:widowControl w:val="0"/>
      <w:spacing w:line="360" w:lineRule="auto"/>
      <w:jc w:val="center"/>
      <w:outlineLvl w:val="9"/>
    </w:pPr>
    <w:rPr>
      <w:rFonts w:ascii="Times New Roman" w:hAnsi="Times New Roman" w:eastAsia="黑体" w:cs="Times New Roman"/>
      <w:sz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3456</Words>
  <Characters>3513</Characters>
  <TotalTime>5</TotalTime>
  <ScaleCrop>false</ScaleCrop>
  <LinksUpToDate>false</LinksUpToDate>
  <CharactersWithSpaces>3569</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2025-08-29T15:03:00Z</dcterms:created>
  <dc:creator>windl</dc:creator>
  <cp:lastModifiedBy>冷风影</cp:lastModifiedBy>
  <dcterms:modified xsi:type="dcterms:W3CDTF">2025-09-05T01:24:27Z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2025-08-29T15:03:28Z</vt:filetime>
  </property>
  <property fmtid="{D5CDD505-2E9C-101B-9397-08002B2CF9AE}" pid="4" name="UsrData">
    <vt:lpwstr>68b150bb918830001fd73c3awl</vt:lpwstr>
  </property>
  <property fmtid="{D5CDD505-2E9C-101B-9397-08002B2CF9AE}" pid="5" name="KSOTemplateDocerSaveRecord">
    <vt:lpwstr>eyJoZGlkIjoiZTFkMzMzMzFhZDNjZTJjNzFkMGU2ZGI2YzYxNjViNzciLCJ1c2VySWQiOiIzMzc0NTQwOTUifQ==</vt:lpwstr>
  </property>
  <property fmtid="{D5CDD505-2E9C-101B-9397-08002B2CF9AE}" pid="6" name="KSOProductBuildVer">
    <vt:lpwstr>2052-12.1.0.20784</vt:lpwstr>
  </property>
  <property fmtid="{D5CDD505-2E9C-101B-9397-08002B2CF9AE}" pid="7" name="ICV">
    <vt:lpwstr>E32A1766CA0F4656BC2CBFDCEC7ADF8A_13</vt:lpwstr>
  </property>
</Properties>
</file>