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4771AA">
      <w:pPr>
        <w:keepNext w:val="0"/>
        <w:keepLines w:val="0"/>
        <w:pageBreakBefore w:val="0"/>
        <w:kinsoku/>
        <w:wordWrap/>
        <w:overflowPunct/>
        <w:topLinePunct w:val="0"/>
        <w:autoSpaceDE/>
        <w:autoSpaceDN/>
        <w:bidi w:val="0"/>
        <w:adjustRightInd/>
        <w:snapToGrid/>
        <w:spacing w:line="360" w:lineRule="auto"/>
        <w:jc w:val="center"/>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设备参数</w:t>
      </w:r>
    </w:p>
    <w:p w14:paraId="7006E853">
      <w:pPr>
        <w:keepNext w:val="0"/>
        <w:keepLines w:val="0"/>
        <w:pageBreakBefore w:val="0"/>
        <w:kinsoku/>
        <w:wordWrap/>
        <w:overflowPunct/>
        <w:topLinePunct w:val="0"/>
        <w:autoSpaceDE/>
        <w:autoSpaceDN/>
        <w:bidi w:val="0"/>
        <w:adjustRightInd/>
        <w:snapToGrid/>
        <w:spacing w:line="360" w:lineRule="auto"/>
        <w:outlineLvl w:val="0"/>
        <w:rPr>
          <w:rFonts w:hint="eastAsia" w:ascii="黑体" w:hAnsi="黑体" w:eastAsia="黑体" w:cs="黑体"/>
          <w:sz w:val="18"/>
          <w:szCs w:val="18"/>
        </w:rPr>
      </w:pPr>
      <w:r>
        <w:rPr>
          <w:rFonts w:hint="eastAsia" w:ascii="黑体" w:hAnsi="黑体" w:eastAsia="黑体" w:cs="黑体"/>
          <w:b/>
          <w:bCs/>
          <w:sz w:val="18"/>
          <w:szCs w:val="18"/>
        </w:rPr>
        <w:t>一、超短波治疗仪技术参数</w:t>
      </w:r>
    </w:p>
    <w:p w14:paraId="71A226D0">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1、使用电源：AC220V±22V，50Hz±1Hz；</w:t>
      </w:r>
    </w:p>
    <w:p w14:paraId="3E9564C6">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2、机器类别：I 类 BF 型；</w:t>
      </w:r>
    </w:p>
    <w:p w14:paraId="3D40976A">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w:t>
      </w:r>
      <w:r>
        <w:rPr>
          <w:rFonts w:hint="eastAsia" w:ascii="黑体" w:hAnsi="黑体" w:eastAsia="黑体" w:cs="黑体"/>
          <w:sz w:val="18"/>
          <w:szCs w:val="18"/>
        </w:rPr>
        <w:tab/>
      </w:r>
      <w:r>
        <w:rPr>
          <w:rFonts w:hint="eastAsia" w:ascii="黑体" w:hAnsi="黑体" w:eastAsia="黑体" w:cs="黑体"/>
          <w:sz w:val="18"/>
          <w:szCs w:val="18"/>
        </w:rPr>
        <w:t>3、工作频率范围：35MHz至45MHz；</w:t>
      </w:r>
    </w:p>
    <w:p w14:paraId="67F5AE3A">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4、输入功率： ≤1000瓦；</w:t>
      </w:r>
    </w:p>
    <w:p w14:paraId="34EA4E21">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5、最大输出功率：≥200瓦</w:t>
      </w:r>
    </w:p>
    <w:p w14:paraId="1425B862">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6、输出功率：多档可调，档位数≥5；</w:t>
      </w:r>
    </w:p>
    <w:p w14:paraId="55D866D6">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7、控制系统：具有预热开始、剩余时间、治疗结束等显示及治疗结束提示音；</w:t>
      </w:r>
    </w:p>
    <w:p w14:paraId="1D0558FA">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8、最大治疗时间：≥30min</w:t>
      </w:r>
    </w:p>
    <w:p w14:paraId="62A6E99E">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9、治疗时间：多档可调，档位数≥5；</w:t>
      </w:r>
    </w:p>
    <w:p w14:paraId="3456C747">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10、输出模式：≥2种，包括但不限于连续波输出和脉冲波输出；</w:t>
      </w:r>
    </w:p>
    <w:p w14:paraId="232DF52C">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11、调谐方式：配备输出回路谐振频率调谐功能；</w:t>
      </w:r>
    </w:p>
    <w:p w14:paraId="7E49D3B7">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12、智能控制：微电脑计算处理器，开机预热、输出强度等智能控制；</w:t>
      </w:r>
    </w:p>
    <w:p w14:paraId="5C17AA55">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13、输出电极：≥2种规格电极板；</w:t>
      </w:r>
    </w:p>
    <w:p w14:paraId="40527089">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14、输出导线：特制铜质电缆线</w:t>
      </w:r>
    </w:p>
    <w:p w14:paraId="739DEFBB">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15、导线长度：导线长度≥1米</w:t>
      </w:r>
    </w:p>
    <w:p w14:paraId="663D99AC">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17、输出指示：配置输出指示附件</w:t>
      </w:r>
    </w:p>
    <w:p w14:paraId="16B38CDE">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18、电流指示：精度不低于2.5级；</w:t>
      </w:r>
    </w:p>
    <w:p w14:paraId="194BF999">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19、产品样式：落地推车式</w:t>
      </w:r>
    </w:p>
    <w:p w14:paraId="7A8324E5">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20、存放装置：配置有电极板存放装置。</w:t>
      </w:r>
    </w:p>
    <w:p w14:paraId="06D639CC">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w:t>
      </w:r>
      <w:r>
        <w:rPr>
          <w:rFonts w:hint="eastAsia" w:ascii="黑体" w:hAnsi="黑体" w:eastAsia="黑体" w:cs="黑体"/>
          <w:sz w:val="18"/>
          <w:szCs w:val="18"/>
        </w:rPr>
        <w:tab/>
      </w:r>
      <w:r>
        <w:rPr>
          <w:rFonts w:hint="eastAsia" w:ascii="黑体" w:hAnsi="黑体" w:eastAsia="黑体" w:cs="黑体"/>
          <w:sz w:val="18"/>
          <w:szCs w:val="18"/>
        </w:rPr>
        <w:t>21、配备≥四个电子管。</w:t>
      </w:r>
    </w:p>
    <w:p w14:paraId="205AC4BD">
      <w:pPr>
        <w:keepNext w:val="0"/>
        <w:keepLines w:val="0"/>
        <w:pageBreakBefore w:val="0"/>
        <w:kinsoku/>
        <w:wordWrap/>
        <w:overflowPunct/>
        <w:topLinePunct w:val="0"/>
        <w:autoSpaceDE/>
        <w:autoSpaceDN/>
        <w:bidi w:val="0"/>
        <w:adjustRightInd/>
        <w:snapToGrid/>
        <w:spacing w:line="360" w:lineRule="auto"/>
        <w:outlineLvl w:val="0"/>
        <w:rPr>
          <w:rFonts w:hint="eastAsia" w:ascii="黑体" w:hAnsi="黑体" w:eastAsia="黑体" w:cs="黑体"/>
          <w:b/>
          <w:bCs/>
          <w:sz w:val="18"/>
          <w:szCs w:val="18"/>
          <w:lang w:val="en-US" w:eastAsia="zh-CN"/>
        </w:rPr>
      </w:pPr>
      <w:r>
        <w:rPr>
          <w:rFonts w:hint="eastAsia" w:ascii="黑体" w:hAnsi="黑体" w:eastAsia="黑体" w:cs="黑体"/>
          <w:b/>
          <w:bCs/>
          <w:sz w:val="18"/>
          <w:szCs w:val="18"/>
        </w:rPr>
        <w:t>二、上肢智能康复机器人技术参数</w:t>
      </w:r>
      <w:r>
        <w:rPr>
          <w:rFonts w:hint="eastAsia" w:ascii="黑体" w:hAnsi="黑体" w:eastAsia="黑体" w:cs="黑体"/>
          <w:b/>
          <w:bCs/>
          <w:sz w:val="18"/>
          <w:szCs w:val="18"/>
        </w:rPr>
        <w:tab/>
      </w:r>
      <w:r>
        <w:rPr>
          <w:rFonts w:hint="eastAsia" w:ascii="黑体" w:hAnsi="黑体" w:eastAsia="黑体" w:cs="黑体"/>
          <w:b/>
          <w:bCs/>
          <w:sz w:val="18"/>
          <w:szCs w:val="18"/>
          <w:lang w:val="en-US" w:eastAsia="zh-CN"/>
        </w:rPr>
        <w:t xml:space="preserve"> </w:t>
      </w:r>
    </w:p>
    <w:p w14:paraId="14F56CB2">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1.电源：交流220V±20V、50Hz±1Hz</w:t>
      </w:r>
    </w:p>
    <w:p w14:paraId="7DD7D279">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2.额定输入功率：≥150VA</w:t>
      </w:r>
    </w:p>
    <w:p w14:paraId="1BA883BC">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3.握力大小评估范围不小于0～10kg</w:t>
      </w:r>
    </w:p>
    <w:p w14:paraId="5B1FDFDC">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4.上臂长度手动调节范围不小于200～300mm，允差±5%</w:t>
      </w:r>
    </w:p>
    <w:p w14:paraId="01BDD89C">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w:t>
      </w:r>
      <w:r>
        <w:rPr>
          <w:rFonts w:hint="eastAsia" w:ascii="黑体" w:hAnsi="黑体" w:eastAsia="黑体" w:cs="黑体"/>
          <w:sz w:val="18"/>
          <w:szCs w:val="18"/>
        </w:rPr>
        <w:tab/>
      </w:r>
      <w:r>
        <w:rPr>
          <w:rFonts w:hint="eastAsia" w:ascii="黑体" w:hAnsi="黑体" w:eastAsia="黑体" w:cs="黑体"/>
          <w:sz w:val="18"/>
          <w:szCs w:val="18"/>
        </w:rPr>
        <w:t>5.前臂长度手动调节范围不小于240～400mm，允差±5%</w:t>
      </w:r>
    </w:p>
    <w:p w14:paraId="57F07AF5">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6.机械臂高度电动调节范围不小于980～1380mm，允差±5%</w:t>
      </w:r>
    </w:p>
    <w:p w14:paraId="2FC8341D">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7.机械臂左右手动调节范围不小于0～550mm，允差±5%</w:t>
      </w:r>
    </w:p>
    <w:p w14:paraId="77FEA101">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w:t>
      </w:r>
      <w:r>
        <w:rPr>
          <w:rFonts w:hint="eastAsia" w:ascii="黑体" w:hAnsi="黑体" w:eastAsia="黑体" w:cs="黑体"/>
          <w:sz w:val="18"/>
          <w:szCs w:val="18"/>
        </w:rPr>
        <w:tab/>
      </w:r>
      <w:r>
        <w:rPr>
          <w:rFonts w:hint="eastAsia" w:ascii="黑体" w:hAnsi="黑体" w:eastAsia="黑体" w:cs="黑体"/>
          <w:sz w:val="18"/>
          <w:szCs w:val="18"/>
        </w:rPr>
        <w:t>8.肩关节内收角度调节范围：≥80°，肩关节外展角度调节范围：≥90°，允差±2°</w:t>
      </w:r>
    </w:p>
    <w:p w14:paraId="6CC44FE3">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w:t>
      </w:r>
      <w:r>
        <w:rPr>
          <w:rFonts w:hint="eastAsia" w:ascii="黑体" w:hAnsi="黑体" w:eastAsia="黑体" w:cs="黑体"/>
          <w:sz w:val="18"/>
          <w:szCs w:val="18"/>
        </w:rPr>
        <w:tab/>
      </w:r>
      <w:r>
        <w:rPr>
          <w:rFonts w:hint="eastAsia" w:ascii="黑体" w:hAnsi="黑体" w:eastAsia="黑体" w:cs="黑体"/>
          <w:sz w:val="18"/>
          <w:szCs w:val="18"/>
        </w:rPr>
        <w:t>9.肩关节前屈角度调节范围不小于：45°～125°，允差±2°</w:t>
      </w:r>
    </w:p>
    <w:p w14:paraId="59C6D31C">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10.肘关节屈曲角度调节范围不小于：0°～180°，允差±2°</w:t>
      </w:r>
    </w:p>
    <w:p w14:paraId="04B6F274">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11.尺桡关节旋前角度调节范围不小于：0°～90°，允差±2°</w:t>
      </w:r>
    </w:p>
    <w:p w14:paraId="2ABF3751">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12.尺桡关节旋后角度调节范围不小于：0°～90°，允差±2°</w:t>
      </w:r>
    </w:p>
    <w:p w14:paraId="0FFB6A58">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13.上臂重力补偿范围不小于：0～6kg可调，允差±2%</w:t>
      </w:r>
    </w:p>
    <w:p w14:paraId="12E4ABEB">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14.前臂重力补偿范围不小于：0～4kg可调，允差±2%</w:t>
      </w:r>
    </w:p>
    <w:p w14:paraId="186C3658">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15.训练方式：左手或右手独立训练。</w:t>
      </w:r>
    </w:p>
    <w:p w14:paraId="36E12DE2">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16.软件功能</w:t>
      </w:r>
    </w:p>
    <w:p w14:paraId="2A85FFF6">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16.1选择患者</w:t>
      </w:r>
    </w:p>
    <w:p w14:paraId="202FE314">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16.1.1注册新患者可登记信息包括但不限于：姓名、年龄、性别、肌力等级。</w:t>
      </w:r>
    </w:p>
    <w:p w14:paraId="2E6D780B">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16.1.2已有患者检索方式包括但不限于：编号、姓名方式查询。</w:t>
      </w:r>
    </w:p>
    <w:p w14:paraId="1D3A4CE8">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16.2训练设置</w:t>
      </w:r>
    </w:p>
    <w:p w14:paraId="54E6F9D3">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w:t>
      </w:r>
      <w:r>
        <w:rPr>
          <w:rFonts w:hint="eastAsia" w:ascii="黑体" w:hAnsi="黑体" w:eastAsia="黑体" w:cs="黑体"/>
          <w:sz w:val="18"/>
          <w:szCs w:val="18"/>
        </w:rPr>
        <w:tab/>
      </w:r>
      <w:r>
        <w:rPr>
          <w:rFonts w:hint="eastAsia" w:ascii="黑体" w:hAnsi="黑体" w:eastAsia="黑体" w:cs="黑体"/>
          <w:sz w:val="18"/>
          <w:szCs w:val="18"/>
        </w:rPr>
        <w:t>16.2.1评估握力大小：根据握力传感器可以评测患者握力大小，并能登记握力大小。</w:t>
      </w:r>
    </w:p>
    <w:p w14:paraId="0CD6BC94">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w:t>
      </w:r>
      <w:r>
        <w:rPr>
          <w:rFonts w:hint="eastAsia" w:ascii="黑体" w:hAnsi="黑体" w:eastAsia="黑体" w:cs="黑体"/>
          <w:sz w:val="18"/>
          <w:szCs w:val="18"/>
        </w:rPr>
        <w:tab/>
      </w:r>
      <w:r>
        <w:rPr>
          <w:rFonts w:hint="eastAsia" w:ascii="黑体" w:hAnsi="黑体" w:eastAsia="黑体" w:cs="黑体"/>
          <w:sz w:val="18"/>
          <w:szCs w:val="18"/>
        </w:rPr>
        <w:t>16.2.2训练难度包括但不限于：低、中、高三个等级。</w:t>
      </w:r>
    </w:p>
    <w:p w14:paraId="3C776613">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16.3进入训练</w:t>
      </w:r>
    </w:p>
    <w:p w14:paraId="7BE27589">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16.3.1一维单关节训练：</w:t>
      </w:r>
    </w:p>
    <w:p w14:paraId="1132D0E2">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w:t>
      </w:r>
      <w:r>
        <w:rPr>
          <w:rFonts w:hint="eastAsia" w:ascii="黑体" w:hAnsi="黑体" w:eastAsia="黑体" w:cs="黑体"/>
          <w:sz w:val="18"/>
          <w:szCs w:val="18"/>
        </w:rPr>
        <w:tab/>
      </w:r>
      <w:r>
        <w:rPr>
          <w:rFonts w:hint="eastAsia" w:ascii="黑体" w:hAnsi="黑体" w:eastAsia="黑体" w:cs="黑体"/>
          <w:sz w:val="18"/>
          <w:szCs w:val="18"/>
        </w:rPr>
        <w:t>a.可单独训练左、右手的某一个单一关节，可选择肩内收外展、肘屈曲、肩内收与肘屈曲、尺桡旋前旋后四个关节；</w:t>
      </w:r>
    </w:p>
    <w:p w14:paraId="33165B11">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b.可通过多种游戏模式来完成，游戏种类≥10种。</w:t>
      </w:r>
    </w:p>
    <w:p w14:paraId="1E6C8A6A">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16.3.2二维多关节训练：</w:t>
      </w:r>
    </w:p>
    <w:p w14:paraId="17067EED">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w:t>
      </w:r>
      <w:r>
        <w:rPr>
          <w:rFonts w:hint="eastAsia" w:ascii="黑体" w:hAnsi="黑体" w:eastAsia="黑体" w:cs="黑体"/>
          <w:sz w:val="18"/>
          <w:szCs w:val="18"/>
        </w:rPr>
        <w:tab/>
      </w:r>
      <w:r>
        <w:rPr>
          <w:rFonts w:hint="eastAsia" w:ascii="黑体" w:hAnsi="黑体" w:eastAsia="黑体" w:cs="黑体"/>
          <w:sz w:val="18"/>
          <w:szCs w:val="18"/>
        </w:rPr>
        <w:t>a.可单独训练左、右手的某两个关节同时进行训练；</w:t>
      </w:r>
    </w:p>
    <w:p w14:paraId="2689F428">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b.可通过多种游戏模式来完成，游戏种类≥7种。</w:t>
      </w:r>
    </w:p>
    <w:p w14:paraId="2C0E40C9">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16.3.3三维多关节训练：</w:t>
      </w:r>
    </w:p>
    <w:p w14:paraId="449D01DF">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w:t>
      </w:r>
      <w:r>
        <w:rPr>
          <w:rFonts w:hint="eastAsia" w:ascii="黑体" w:hAnsi="黑体" w:eastAsia="黑体" w:cs="黑体"/>
          <w:sz w:val="18"/>
          <w:szCs w:val="18"/>
        </w:rPr>
        <w:tab/>
      </w:r>
      <w:r>
        <w:rPr>
          <w:rFonts w:hint="eastAsia" w:ascii="黑体" w:hAnsi="黑体" w:eastAsia="黑体" w:cs="黑体"/>
          <w:sz w:val="18"/>
          <w:szCs w:val="18"/>
        </w:rPr>
        <w:t>a.可进行左、右手上肢综合训练；</w:t>
      </w:r>
    </w:p>
    <w:p w14:paraId="084967CA">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b.可通过多种游戏模式来完成，游戏种类≥2种。。</w:t>
      </w:r>
    </w:p>
    <w:p w14:paraId="18198DAF">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16.4训练信息：</w:t>
      </w:r>
    </w:p>
    <w:p w14:paraId="73E0E34C">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16.4.1查询条件包括但不限于：编号、姓名、训练名称。</w:t>
      </w:r>
    </w:p>
    <w:p w14:paraId="6F22D9E5">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16.4.2查询训练信息结果括但不限于：编号、姓名、游戏、左/右肢、模式、难度、握力、成绩、训练时间、训练日期。</w:t>
      </w:r>
    </w:p>
    <w:p w14:paraId="0F35A37C">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16.5评估系统</w:t>
      </w:r>
    </w:p>
    <w:p w14:paraId="68DA5AC0">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16.5.1评估活动范围包括但不限于：分为肩关节内收外展、肩关节前屈、肘关节屈曲、尺桡关节旋前旋后、握力五个关节活动范围。握力大小评估范围不小于：0～10kg。</w:t>
      </w:r>
    </w:p>
    <w:p w14:paraId="45C1D92C">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16.5.2评估过程：在计算机软件上检测某一关节活动范围，通过工作台来实施操作反馈评估范围，并保存数据生成评估报告。</w:t>
      </w:r>
    </w:p>
    <w:p w14:paraId="39DE3434">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17.智能识别左右手、患者评估工具、患者个人数据库、全程自动记录信息训练、训练模式：一维、二维、三维、视觉、语音智能反馈、储存数据图表、打印报表等。</w:t>
      </w:r>
    </w:p>
    <w:p w14:paraId="23CEB11E">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p>
    <w:p w14:paraId="6B0B44E2">
      <w:pPr>
        <w:keepNext w:val="0"/>
        <w:keepLines w:val="0"/>
        <w:pageBreakBefore w:val="0"/>
        <w:kinsoku/>
        <w:wordWrap/>
        <w:overflowPunct/>
        <w:topLinePunct w:val="0"/>
        <w:autoSpaceDE/>
        <w:autoSpaceDN/>
        <w:bidi w:val="0"/>
        <w:adjustRightInd/>
        <w:snapToGrid/>
        <w:spacing w:line="360" w:lineRule="auto"/>
        <w:outlineLvl w:val="0"/>
        <w:rPr>
          <w:rFonts w:hint="eastAsia" w:ascii="黑体" w:hAnsi="黑体" w:eastAsia="黑体" w:cs="黑体"/>
          <w:b/>
          <w:bCs/>
          <w:sz w:val="18"/>
          <w:szCs w:val="18"/>
        </w:rPr>
      </w:pPr>
      <w:r>
        <w:rPr>
          <w:rFonts w:hint="eastAsia" w:ascii="黑体" w:hAnsi="黑体" w:eastAsia="黑体" w:cs="黑体"/>
          <w:b/>
          <w:bCs/>
          <w:sz w:val="18"/>
          <w:szCs w:val="18"/>
        </w:rPr>
        <w:t>三、经颅刺激仪技术参数</w:t>
      </w:r>
      <w:r>
        <w:rPr>
          <w:rFonts w:hint="eastAsia" w:ascii="黑体" w:hAnsi="黑体" w:eastAsia="黑体" w:cs="黑体"/>
          <w:b/>
          <w:bCs/>
          <w:sz w:val="18"/>
          <w:szCs w:val="18"/>
        </w:rPr>
        <w:tab/>
      </w:r>
      <w:r>
        <w:rPr>
          <w:rFonts w:hint="eastAsia" w:ascii="黑体" w:hAnsi="黑体" w:eastAsia="黑体" w:cs="黑体"/>
          <w:b/>
          <w:bCs/>
          <w:sz w:val="18"/>
          <w:szCs w:val="18"/>
          <w:lang w:val="en-US" w:eastAsia="zh-CN"/>
        </w:rPr>
        <w:t>☆ 核心产品</w:t>
      </w:r>
    </w:p>
    <w:p w14:paraId="49CCBA6F">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1、额定输入功率：≤3500VA。</w:t>
      </w:r>
    </w:p>
    <w:p w14:paraId="76386809">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2、设备可进行热插拔，治疗头≥2个。</w:t>
      </w:r>
    </w:p>
    <w:p w14:paraId="34D2D803">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3、冷却方式：液体循环冷却。</w:t>
      </w:r>
    </w:p>
    <w:p w14:paraId="54A539B3">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w:t>
      </w:r>
      <w:r>
        <w:rPr>
          <w:rFonts w:hint="eastAsia" w:ascii="黑体" w:hAnsi="黑体" w:eastAsia="黑体" w:cs="黑体"/>
          <w:sz w:val="18"/>
          <w:szCs w:val="18"/>
          <w:lang w:val="en-US" w:eastAsia="zh-CN"/>
        </w:rPr>
        <w:t xml:space="preserve">  </w:t>
      </w:r>
      <w:r>
        <w:rPr>
          <w:rFonts w:hint="eastAsia" w:ascii="黑体" w:hAnsi="黑体" w:eastAsia="黑体" w:cs="黑体"/>
          <w:sz w:val="18"/>
          <w:szCs w:val="18"/>
        </w:rPr>
        <w:t>4、最大磁感应强度：≥6T，误差≤±5%。</w:t>
      </w:r>
    </w:p>
    <w:p w14:paraId="2FA66417">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5、最高输出频率：≥80Hz。</w:t>
      </w:r>
    </w:p>
    <w:p w14:paraId="0547D53E">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6、脉冲宽度：340μs±20μs。</w:t>
      </w:r>
    </w:p>
    <w:p w14:paraId="752EEDF7">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7、脉冲上升时间：至少包括60μs±10μs。</w:t>
      </w:r>
    </w:p>
    <w:p w14:paraId="24E0BB05">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8、磁刺激输出：含单次刺激、重复脉冲磁刺激和模式化（TBS）磁刺激。</w:t>
      </w:r>
    </w:p>
    <w:p w14:paraId="7D809222">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w:t>
      </w:r>
      <w:r>
        <w:rPr>
          <w:rFonts w:hint="eastAsia" w:ascii="黑体" w:hAnsi="黑体" w:eastAsia="黑体" w:cs="黑体"/>
          <w:sz w:val="18"/>
          <w:szCs w:val="18"/>
        </w:rPr>
        <w:tab/>
      </w:r>
      <w:r>
        <w:rPr>
          <w:rFonts w:hint="eastAsia" w:ascii="黑体" w:hAnsi="黑体" w:eastAsia="黑体" w:cs="黑体"/>
          <w:sz w:val="18"/>
          <w:szCs w:val="18"/>
        </w:rPr>
        <w:t>9、配备温度监测功能：刺激线圈实时显示温度，可在设备显示屏显示。</w:t>
      </w:r>
    </w:p>
    <w:p w14:paraId="19D8322A">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10、主机可进行强度、频率等参数调节。</w:t>
      </w:r>
    </w:p>
    <w:p w14:paraId="792F2677">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11、当冷却系统发生连通故障时，应有提示。</w:t>
      </w:r>
    </w:p>
    <w:p w14:paraId="16BADBB1">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12、线圈应具独立的保护装置，冷却系统发生故障时，应具有提示或停止磁场输出功能。</w:t>
      </w:r>
    </w:p>
    <w:p w14:paraId="552BB64E">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w:t>
      </w:r>
      <w:r>
        <w:rPr>
          <w:rFonts w:hint="eastAsia" w:ascii="黑体" w:hAnsi="黑体" w:eastAsia="黑体" w:cs="黑体"/>
          <w:sz w:val="18"/>
          <w:szCs w:val="18"/>
        </w:rPr>
        <w:tab/>
      </w:r>
      <w:r>
        <w:rPr>
          <w:rFonts w:hint="eastAsia" w:ascii="黑体" w:hAnsi="黑体" w:eastAsia="黑体" w:cs="黑体"/>
          <w:sz w:val="18"/>
          <w:szCs w:val="18"/>
        </w:rPr>
        <w:t>13、软件具有队列刺激，可进行多个方案组合治疗。</w:t>
      </w:r>
    </w:p>
    <w:p w14:paraId="6F91A5AA">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w:t>
      </w:r>
      <w:r>
        <w:rPr>
          <w:rFonts w:hint="eastAsia" w:ascii="黑体" w:hAnsi="黑体" w:eastAsia="黑体" w:cs="黑体"/>
          <w:sz w:val="18"/>
          <w:szCs w:val="18"/>
        </w:rPr>
        <w:tab/>
      </w:r>
      <w:r>
        <w:rPr>
          <w:rFonts w:hint="eastAsia" w:ascii="黑体" w:hAnsi="黑体" w:eastAsia="黑体" w:cs="黑体"/>
          <w:sz w:val="18"/>
          <w:szCs w:val="18"/>
        </w:rPr>
        <w:t>14、阈值类型：≥4种（绝对强度、活动运动阈值、静息运动阈值、外周运动阈值）。</w:t>
      </w:r>
    </w:p>
    <w:p w14:paraId="39FAC9DE">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15、磁刺激线圈：可双面双向刺激、单次刺激，并具有强度调节开关和显示屏显示实时输出强度。</w:t>
      </w:r>
    </w:p>
    <w:p w14:paraId="1CD0D498">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16、刺激方案：≥50种专用治疗方案库供医生选择。</w:t>
      </w:r>
    </w:p>
    <w:p w14:paraId="042B36D3">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17、个性化方案：可自定义编辑，强度、频率、脉冲个数、间歇时间、串时间、串数等参数。</w:t>
      </w:r>
    </w:p>
    <w:p w14:paraId="4C38310E">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w:t>
      </w:r>
      <w:r>
        <w:rPr>
          <w:rFonts w:hint="eastAsia" w:ascii="黑体" w:hAnsi="黑体" w:eastAsia="黑体" w:cs="黑体"/>
          <w:sz w:val="18"/>
          <w:szCs w:val="18"/>
        </w:rPr>
        <w:tab/>
      </w:r>
      <w:r>
        <w:rPr>
          <w:rFonts w:hint="eastAsia" w:ascii="黑体" w:hAnsi="黑体" w:eastAsia="黑体" w:cs="黑体"/>
          <w:sz w:val="18"/>
          <w:szCs w:val="18"/>
        </w:rPr>
        <w:t>18、报告打印：具备自动化报告生成与打印功能或根据需要自定义编辑。</w:t>
      </w:r>
    </w:p>
    <w:p w14:paraId="7DAD0FCB">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19、检测功能：支持运动阈值（MT）、运动诱发电位（MEP）、中枢神经传导时间（CMCT）的检查功能。</w:t>
      </w:r>
    </w:p>
    <w:p w14:paraId="679A835B">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20、治疗界面：实时采集运动诱发电位，并提供图像，治疗过程中电生理安全监测。</w:t>
      </w:r>
    </w:p>
    <w:p w14:paraId="1C82A2DA">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21、具备触发输入输出通用接口，可兼容神经导航、肌电图、脑电图、机械臂等设备。</w:t>
      </w:r>
    </w:p>
    <w:p w14:paraId="739A89FE">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22、可选配多种线圈、MEP模块、经颅磁理疗床、经颅磁导航系统用六轴固定臂。</w:t>
      </w:r>
    </w:p>
    <w:p w14:paraId="21E1696A">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23、万向调节支臂：≥3个活动关节实现360°全方位活动调节，一键锁紧功能。</w:t>
      </w:r>
    </w:p>
    <w:p w14:paraId="169EE7DB">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24、产品使用年限：≥8年</w:t>
      </w:r>
    </w:p>
    <w:p w14:paraId="220A6E50">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p>
    <w:p w14:paraId="641BB65D">
      <w:pPr>
        <w:keepNext w:val="0"/>
        <w:keepLines w:val="0"/>
        <w:pageBreakBefore w:val="0"/>
        <w:kinsoku/>
        <w:wordWrap/>
        <w:overflowPunct/>
        <w:topLinePunct w:val="0"/>
        <w:autoSpaceDE/>
        <w:autoSpaceDN/>
        <w:bidi w:val="0"/>
        <w:adjustRightInd/>
        <w:snapToGrid/>
        <w:spacing w:line="360" w:lineRule="auto"/>
        <w:outlineLvl w:val="0"/>
        <w:rPr>
          <w:rFonts w:hint="eastAsia" w:ascii="黑体" w:hAnsi="黑体" w:eastAsia="黑体" w:cs="黑体"/>
          <w:b/>
          <w:bCs/>
          <w:sz w:val="18"/>
          <w:szCs w:val="18"/>
        </w:rPr>
      </w:pPr>
      <w:r>
        <w:rPr>
          <w:rFonts w:hint="eastAsia" w:ascii="黑体" w:hAnsi="黑体" w:eastAsia="黑体" w:cs="黑体"/>
          <w:b/>
          <w:bCs/>
          <w:sz w:val="18"/>
          <w:szCs w:val="18"/>
        </w:rPr>
        <w:t>四、多关节等速肌力测试训练系统技术参数</w:t>
      </w:r>
      <w:r>
        <w:rPr>
          <w:rFonts w:hint="eastAsia" w:ascii="黑体" w:hAnsi="黑体" w:eastAsia="黑体" w:cs="黑体"/>
          <w:b/>
          <w:bCs/>
          <w:sz w:val="18"/>
          <w:szCs w:val="18"/>
        </w:rPr>
        <w:tab/>
      </w:r>
    </w:p>
    <w:p w14:paraId="0EA2BAA0">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1、靠背倾斜角度：0～90°，允差±10%。</w:t>
      </w:r>
    </w:p>
    <w:p w14:paraId="3B93B933">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2、角速度调节范围：向心控制速度：40°/s～400°/s，离心控制速度：20°/s～200°/s，CPM控制速度：5°/s～20°/s。</w:t>
      </w:r>
    </w:p>
    <w:p w14:paraId="5BFC1C66">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w:t>
      </w:r>
      <w:r>
        <w:rPr>
          <w:rFonts w:hint="eastAsia" w:ascii="黑体" w:hAnsi="黑体" w:eastAsia="黑体" w:cs="黑体"/>
          <w:sz w:val="18"/>
          <w:szCs w:val="18"/>
        </w:rPr>
        <w:tab/>
      </w:r>
      <w:r>
        <w:rPr>
          <w:rFonts w:hint="eastAsia" w:ascii="黑体" w:hAnsi="黑体" w:eastAsia="黑体" w:cs="黑体"/>
          <w:sz w:val="18"/>
          <w:szCs w:val="18"/>
        </w:rPr>
        <w:t>3、角速度设置模式包含但不限于：异步模式、同步模式。</w:t>
      </w:r>
    </w:p>
    <w:p w14:paraId="1C481DD7">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4、可以单独调节或同步调节伸展/屈曲角速度控制。</w:t>
      </w:r>
    </w:p>
    <w:p w14:paraId="557CEF6F">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5、角速度最小增长间隔：1°/s。</w:t>
      </w:r>
    </w:p>
    <w:p w14:paraId="5811CA88">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6、机械运行活动范围：-20°～120°。</w:t>
      </w:r>
    </w:p>
    <w:p w14:paraId="4401C859">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7、最大扭矩≥400N·m，允差±5%。</w:t>
      </w:r>
    </w:p>
    <w:p w14:paraId="5CB96ABD">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8、≥两种关节运动范围模式</w:t>
      </w:r>
    </w:p>
    <w:p w14:paraId="0FD35C16">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9、伸肌和屈肌角速度：40°/s至400°/s之间，1°/s步进。</w:t>
      </w:r>
    </w:p>
    <w:p w14:paraId="0512D82F">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10、伸肌和屈肌运动范围（ROM）：-20°至120°之间，10°步进。</w:t>
      </w:r>
    </w:p>
    <w:p w14:paraId="0724EC42">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w:t>
      </w:r>
      <w:r>
        <w:rPr>
          <w:rFonts w:hint="eastAsia" w:ascii="黑体" w:hAnsi="黑体" w:eastAsia="黑体" w:cs="黑体"/>
          <w:sz w:val="18"/>
          <w:szCs w:val="18"/>
        </w:rPr>
        <w:tab/>
      </w:r>
      <w:r>
        <w:rPr>
          <w:rFonts w:hint="eastAsia" w:ascii="黑体" w:hAnsi="黑体" w:eastAsia="黑体" w:cs="黑体"/>
          <w:sz w:val="18"/>
          <w:szCs w:val="18"/>
        </w:rPr>
        <w:t>11、可以训练的运动关节有但不限于：踝关节、膝关节、肩关节、肘关节、闭链运动（髋-膝-踝关节）。</w:t>
      </w:r>
    </w:p>
    <w:p w14:paraId="08394C9F">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12、操作模式≥3种：</w:t>
      </w:r>
    </w:p>
    <w:p w14:paraId="56B0B22B">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13、上肢关节配置角度偏差器</w:t>
      </w:r>
    </w:p>
    <w:p w14:paraId="775BFFD2">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14、配置限位拴装置</w:t>
      </w:r>
    </w:p>
    <w:p w14:paraId="73F929D7">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15、训练限制≥两种模式</w:t>
      </w:r>
    </w:p>
    <w:p w14:paraId="7A9972C1">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16、支持重力补偿模式。</w:t>
      </w:r>
    </w:p>
    <w:p w14:paraId="27D0E8BC">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17、可以储存：≥五种独立类型报告。</w:t>
      </w:r>
    </w:p>
    <w:p w14:paraId="6922D071">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18、支持数据对比模式：具备</w:t>
      </w:r>
    </w:p>
    <w:p w14:paraId="0BF188DF">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19、实时动态图显示训练情况：具备</w:t>
      </w:r>
    </w:p>
    <w:p w14:paraId="2CA09B38">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20、内置电子指导说明。</w:t>
      </w:r>
    </w:p>
    <w:p w14:paraId="5A52D126">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21、≥23英寸一体式电脑</w:t>
      </w:r>
    </w:p>
    <w:p w14:paraId="03F9922F">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22、具有下肢测试防代偿固定绑带。</w:t>
      </w:r>
    </w:p>
    <w:p w14:paraId="5F888711">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23、支持≥3种测试训练体位。</w:t>
      </w:r>
    </w:p>
    <w:p w14:paraId="662F6D24">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24、测试中心轴可以手动调节高度。</w:t>
      </w:r>
    </w:p>
    <w:p w14:paraId="0E1A7861">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25、具有紧急保护装置。</w:t>
      </w:r>
    </w:p>
    <w:p w14:paraId="53553D26">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26、可以编辑处方及储存</w:t>
      </w:r>
    </w:p>
    <w:p w14:paraId="0DB69B2C">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p>
    <w:p w14:paraId="66BEE008">
      <w:pPr>
        <w:keepNext w:val="0"/>
        <w:keepLines w:val="0"/>
        <w:pageBreakBefore w:val="0"/>
        <w:kinsoku/>
        <w:wordWrap/>
        <w:overflowPunct/>
        <w:topLinePunct w:val="0"/>
        <w:autoSpaceDE/>
        <w:autoSpaceDN/>
        <w:bidi w:val="0"/>
        <w:adjustRightInd/>
        <w:snapToGrid/>
        <w:spacing w:line="360" w:lineRule="auto"/>
        <w:outlineLvl w:val="0"/>
        <w:rPr>
          <w:rFonts w:hint="eastAsia" w:ascii="黑体" w:hAnsi="黑体" w:eastAsia="黑体" w:cs="黑体"/>
          <w:b/>
          <w:bCs/>
          <w:sz w:val="18"/>
          <w:szCs w:val="18"/>
        </w:rPr>
      </w:pPr>
      <w:r>
        <w:rPr>
          <w:rFonts w:hint="eastAsia" w:ascii="黑体" w:hAnsi="黑体" w:eastAsia="黑体" w:cs="黑体"/>
          <w:b/>
          <w:bCs/>
          <w:sz w:val="18"/>
          <w:szCs w:val="18"/>
        </w:rPr>
        <w:t>五、立体动态干扰电治疗仪技术参数</w:t>
      </w:r>
      <w:r>
        <w:rPr>
          <w:rFonts w:hint="eastAsia" w:ascii="黑体" w:hAnsi="黑体" w:eastAsia="黑体" w:cs="黑体"/>
          <w:b/>
          <w:bCs/>
          <w:sz w:val="18"/>
          <w:szCs w:val="18"/>
        </w:rPr>
        <w:tab/>
      </w:r>
    </w:p>
    <w:p w14:paraId="5466F7FC">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w:t>
      </w:r>
      <w:r>
        <w:rPr>
          <w:rFonts w:hint="eastAsia" w:ascii="黑体" w:hAnsi="黑体" w:eastAsia="黑体" w:cs="黑体"/>
          <w:sz w:val="18"/>
          <w:szCs w:val="18"/>
        </w:rPr>
        <w:tab/>
      </w:r>
      <w:r>
        <w:rPr>
          <w:rFonts w:hint="eastAsia" w:ascii="黑体" w:hAnsi="黑体" w:eastAsia="黑体" w:cs="黑体"/>
          <w:sz w:val="18"/>
          <w:szCs w:val="18"/>
        </w:rPr>
        <w:t>1 、输出通道：两组二维干扰电输出，支持单路中频输出。</w:t>
      </w:r>
    </w:p>
    <w:p w14:paraId="5C902B70">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w:t>
      </w:r>
      <w:r>
        <w:rPr>
          <w:rFonts w:hint="eastAsia" w:ascii="黑体" w:hAnsi="黑体" w:eastAsia="黑体" w:cs="黑体"/>
          <w:sz w:val="18"/>
          <w:szCs w:val="18"/>
        </w:rPr>
        <w:tab/>
      </w:r>
      <w:r>
        <w:rPr>
          <w:rFonts w:hint="eastAsia" w:ascii="黑体" w:hAnsi="黑体" w:eastAsia="黑体" w:cs="黑体"/>
          <w:sz w:val="18"/>
          <w:szCs w:val="18"/>
        </w:rPr>
        <w:t>2 、具有单向正弦波、双向正弦波等六种以上设置模式。</w:t>
      </w:r>
    </w:p>
    <w:p w14:paraId="4B51006C">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3 、电极种类：包含吸附式电极、自粘电极。</w:t>
      </w:r>
    </w:p>
    <w:p w14:paraId="7C16D600">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w:t>
      </w:r>
      <w:r>
        <w:rPr>
          <w:rFonts w:hint="eastAsia" w:ascii="黑体" w:hAnsi="黑体" w:eastAsia="黑体" w:cs="黑体"/>
          <w:sz w:val="18"/>
          <w:szCs w:val="18"/>
        </w:rPr>
        <w:tab/>
      </w:r>
      <w:r>
        <w:rPr>
          <w:rFonts w:hint="eastAsia" w:ascii="黑体" w:hAnsi="黑体" w:eastAsia="黑体" w:cs="黑体"/>
          <w:sz w:val="18"/>
          <w:szCs w:val="18"/>
        </w:rPr>
        <w:t>4 、负压泵吸附拔罐模式：压力五种以上档位可选择，吸附动作周期允差±10% ，使吸附式电极在治疗同时有近似拔罐功能。</w:t>
      </w:r>
    </w:p>
    <w:p w14:paraId="06700090">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w:t>
      </w:r>
      <w:r>
        <w:rPr>
          <w:rFonts w:hint="eastAsia" w:ascii="黑体" w:hAnsi="黑体" w:eastAsia="黑体" w:cs="黑体"/>
          <w:sz w:val="18"/>
          <w:szCs w:val="18"/>
        </w:rPr>
        <w:tab/>
      </w:r>
      <w:r>
        <w:rPr>
          <w:rFonts w:hint="eastAsia" w:ascii="黑体" w:hAnsi="黑体" w:eastAsia="黑体" w:cs="黑体"/>
          <w:sz w:val="18"/>
          <w:szCs w:val="18"/>
        </w:rPr>
        <w:t>5 、配备加热装置，预热最高温度≥30℃。</w:t>
      </w:r>
    </w:p>
    <w:p w14:paraId="34A52CE7">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w:t>
      </w:r>
      <w:r>
        <w:rPr>
          <w:rFonts w:hint="eastAsia" w:ascii="黑体" w:hAnsi="黑体" w:eastAsia="黑体" w:cs="黑体"/>
          <w:sz w:val="18"/>
          <w:szCs w:val="18"/>
        </w:rPr>
        <w:tab/>
      </w:r>
      <w:r>
        <w:rPr>
          <w:rFonts w:hint="eastAsia" w:ascii="黑体" w:hAnsi="黑体" w:eastAsia="黑体" w:cs="黑体"/>
          <w:sz w:val="18"/>
          <w:szCs w:val="18"/>
        </w:rPr>
        <w:t>6 、配备紫外线消毒抽屉，消毒时间区间：10～30min可调。</w:t>
      </w:r>
    </w:p>
    <w:p w14:paraId="3F99CC57">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7 、固定处方≥4个，自定义处方≥1个。</w:t>
      </w:r>
    </w:p>
    <w:p w14:paraId="763ABC2A">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8 、工作频率：多档可选，至少包括2kHz、3kHz、4kHz、5kHz、6kHz。</w:t>
      </w:r>
    </w:p>
    <w:p w14:paraId="0E4EF4B8">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9 、差频频率范围：1Hz～120Hz。</w:t>
      </w:r>
    </w:p>
    <w:p w14:paraId="199D5328">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10 、差频周期：≥四档可选择。</w:t>
      </w:r>
    </w:p>
    <w:p w14:paraId="526CB957">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w:t>
      </w:r>
      <w:r>
        <w:rPr>
          <w:rFonts w:hint="eastAsia" w:ascii="黑体" w:hAnsi="黑体" w:eastAsia="黑体" w:cs="黑体"/>
          <w:sz w:val="18"/>
          <w:szCs w:val="18"/>
        </w:rPr>
        <w:tab/>
      </w:r>
      <w:r>
        <w:rPr>
          <w:rFonts w:hint="eastAsia" w:ascii="黑体" w:hAnsi="黑体" w:eastAsia="黑体" w:cs="黑体"/>
          <w:sz w:val="18"/>
          <w:szCs w:val="18"/>
        </w:rPr>
        <w:t>11 、动态节律：≥十档可选择。</w:t>
      </w:r>
    </w:p>
    <w:p w14:paraId="3D5742E6">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12 、调幅度：≥五档可选。</w:t>
      </w:r>
    </w:p>
    <w:p w14:paraId="20FDE992">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13 、调制频率：至少覆盖0～150Hz。</w:t>
      </w:r>
    </w:p>
    <w:p w14:paraId="4E7C6C03">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14 、每路最大输出电流有效值≥60mA。</w:t>
      </w:r>
    </w:p>
    <w:p w14:paraId="02BAF789">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15 、定时设置范围：1min～90min连续可调，级差1min，允差±5%，治疗结束有蜂鸣器提示声。</w:t>
      </w:r>
    </w:p>
    <w:p w14:paraId="010C1A58">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16 、治疗时，产品具备输出通道开路，短路保护功能。</w:t>
      </w:r>
    </w:p>
    <w:p w14:paraId="36C15017">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17 、立式配备脚轮，配有输出线和电极存储空间。</w:t>
      </w:r>
    </w:p>
    <w:p w14:paraId="00B91581">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p>
    <w:p w14:paraId="51C26A25">
      <w:pPr>
        <w:keepNext w:val="0"/>
        <w:keepLines w:val="0"/>
        <w:pageBreakBefore w:val="0"/>
        <w:kinsoku/>
        <w:wordWrap/>
        <w:overflowPunct/>
        <w:topLinePunct w:val="0"/>
        <w:autoSpaceDE/>
        <w:autoSpaceDN/>
        <w:bidi w:val="0"/>
        <w:adjustRightInd/>
        <w:snapToGrid/>
        <w:spacing w:line="360" w:lineRule="auto"/>
        <w:outlineLvl w:val="0"/>
        <w:rPr>
          <w:rFonts w:hint="eastAsia" w:ascii="黑体" w:hAnsi="黑体" w:eastAsia="黑体" w:cs="黑体"/>
          <w:b/>
          <w:bCs/>
          <w:sz w:val="18"/>
          <w:szCs w:val="18"/>
        </w:rPr>
      </w:pPr>
      <w:r>
        <w:rPr>
          <w:rFonts w:hint="eastAsia" w:ascii="黑体" w:hAnsi="黑体" w:eastAsia="黑体" w:cs="黑体"/>
          <w:b/>
          <w:bCs/>
          <w:sz w:val="18"/>
          <w:szCs w:val="18"/>
        </w:rPr>
        <w:t>六、磁振热治疗仪技术参数</w:t>
      </w:r>
      <w:r>
        <w:rPr>
          <w:rFonts w:hint="eastAsia" w:ascii="黑体" w:hAnsi="黑体" w:eastAsia="黑体" w:cs="黑体"/>
          <w:b/>
          <w:bCs/>
          <w:sz w:val="18"/>
          <w:szCs w:val="18"/>
          <w:lang w:val="en-US" w:eastAsia="zh-CN"/>
        </w:rPr>
        <w:t xml:space="preserve">  </w:t>
      </w:r>
      <w:r>
        <w:rPr>
          <w:rFonts w:hint="eastAsia" w:ascii="黑体" w:hAnsi="黑体" w:eastAsia="黑体" w:cs="黑体"/>
          <w:b/>
          <w:bCs/>
          <w:sz w:val="18"/>
          <w:szCs w:val="18"/>
        </w:rPr>
        <w:tab/>
      </w:r>
    </w:p>
    <w:p w14:paraId="0BD8DA05">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功能要求；适用于慢性软组织损伤和颈肩腰腿疼的辅助治疗</w:t>
      </w:r>
    </w:p>
    <w:p w14:paraId="734AC136">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1、额定输入功率：≥500VA，额定电压：220V，额定频率≤50Hz；</w:t>
      </w:r>
    </w:p>
    <w:p w14:paraId="28349570">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2、磁场强度范围：≤38mT；</w:t>
      </w:r>
    </w:p>
    <w:p w14:paraId="6D8030FF">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3、振动频率为：≤50Hz，允差±1Hz；</w:t>
      </w:r>
    </w:p>
    <w:p w14:paraId="5D8A442B">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4、振动幅度≤2mm；</w:t>
      </w:r>
    </w:p>
    <w:p w14:paraId="68AD5025">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5、治疗模式≥6种</w:t>
      </w:r>
    </w:p>
    <w:p w14:paraId="648B77CB">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6、可选择温控工作模式，温度范围覆盖40℃～55℃，多档可调，允差±3℃；</w:t>
      </w:r>
    </w:p>
    <w:p w14:paraId="7C7F933C">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7、治疗时间可调，范围覆盖1min～60min，步进≤1min，允差±10％；</w:t>
      </w:r>
    </w:p>
    <w:p w14:paraId="436C2DB9">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8、将磁疗，振动，热疗三种治疗方式相结合由一种导子同时输出；</w:t>
      </w:r>
    </w:p>
    <w:p w14:paraId="5056C0CA">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w:t>
      </w:r>
      <w:r>
        <w:rPr>
          <w:rFonts w:hint="eastAsia" w:ascii="黑体" w:hAnsi="黑体" w:eastAsia="黑体" w:cs="黑体"/>
          <w:sz w:val="18"/>
          <w:szCs w:val="18"/>
        </w:rPr>
        <w:tab/>
      </w:r>
      <w:r>
        <w:rPr>
          <w:rFonts w:hint="eastAsia" w:ascii="黑体" w:hAnsi="黑体" w:eastAsia="黑体" w:cs="黑体"/>
          <w:sz w:val="18"/>
          <w:szCs w:val="18"/>
        </w:rPr>
        <w:t>9、输出通道：四通道（可同时连接四个导子）；</w:t>
      </w:r>
    </w:p>
    <w:p w14:paraId="570D1EEF">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10、配备至少一个标准温热导子，一个颈肩温热导子，一个关节温热导子，一个分离式温热导子；</w:t>
      </w:r>
    </w:p>
    <w:p w14:paraId="406CAD07">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11、治疗仪治疗完毕停止输出，并有提示声；</w:t>
      </w:r>
    </w:p>
    <w:p w14:paraId="26BB8329">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w:t>
      </w:r>
      <w:r>
        <w:rPr>
          <w:rFonts w:hint="eastAsia" w:ascii="黑体" w:hAnsi="黑体" w:eastAsia="黑体" w:cs="黑体"/>
          <w:sz w:val="18"/>
          <w:szCs w:val="18"/>
        </w:rPr>
        <w:tab/>
      </w:r>
      <w:r>
        <w:rPr>
          <w:rFonts w:hint="eastAsia" w:ascii="黑体" w:hAnsi="黑体" w:eastAsia="黑体" w:cs="黑体"/>
          <w:sz w:val="18"/>
          <w:szCs w:val="18"/>
        </w:rPr>
        <w:t>12、超温保护装置：治疗仪具有独立于恒温器的非自动复位的超温保护装置。超温保护装置动作时，停止输出，应用部分的温度≤60℃；</w:t>
      </w:r>
    </w:p>
    <w:p w14:paraId="47B7CC5F">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13、治疗仪主要由主机、温热导子组成；</w:t>
      </w:r>
    </w:p>
    <w:p w14:paraId="0CF256DF">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14、产品使用年限：≥8年</w:t>
      </w:r>
    </w:p>
    <w:p w14:paraId="38D83774">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p>
    <w:p w14:paraId="7E7823B6">
      <w:pPr>
        <w:keepNext w:val="0"/>
        <w:keepLines w:val="0"/>
        <w:pageBreakBefore w:val="0"/>
        <w:kinsoku/>
        <w:wordWrap/>
        <w:overflowPunct/>
        <w:topLinePunct w:val="0"/>
        <w:autoSpaceDE/>
        <w:autoSpaceDN/>
        <w:bidi w:val="0"/>
        <w:adjustRightInd/>
        <w:snapToGrid/>
        <w:spacing w:line="360" w:lineRule="auto"/>
        <w:outlineLvl w:val="0"/>
        <w:rPr>
          <w:rFonts w:hint="eastAsia" w:ascii="黑体" w:hAnsi="黑体" w:eastAsia="黑体" w:cs="黑体"/>
          <w:b/>
          <w:bCs/>
          <w:sz w:val="18"/>
          <w:szCs w:val="18"/>
        </w:rPr>
      </w:pPr>
      <w:r>
        <w:rPr>
          <w:rFonts w:hint="eastAsia" w:ascii="黑体" w:hAnsi="黑体" w:eastAsia="黑体" w:cs="黑体"/>
          <w:b/>
          <w:bCs/>
          <w:sz w:val="18"/>
          <w:szCs w:val="18"/>
        </w:rPr>
        <w:t>七、毛发镜技术参数</w:t>
      </w:r>
      <w:r>
        <w:rPr>
          <w:rFonts w:hint="eastAsia" w:ascii="黑体" w:hAnsi="黑体" w:eastAsia="黑体" w:cs="黑体"/>
          <w:b/>
          <w:bCs/>
          <w:sz w:val="18"/>
          <w:szCs w:val="18"/>
        </w:rPr>
        <w:tab/>
      </w:r>
    </w:p>
    <w:p w14:paraId="174BE297">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功能要求：对人体皮肤和毛发的病变组织进行放大拍摄、实时动态观察，并对病变组织拍照采集皮肤镜影像图片，进行图像处理、保存，建立包含病人完整信息的医生病历，输出打印图文报告</w:t>
      </w:r>
    </w:p>
    <w:p w14:paraId="4864E257">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w:t>
      </w:r>
      <w:r>
        <w:rPr>
          <w:rFonts w:hint="eastAsia" w:ascii="黑体" w:hAnsi="黑体" w:eastAsia="黑体" w:cs="黑体"/>
          <w:sz w:val="18"/>
          <w:szCs w:val="18"/>
        </w:rPr>
        <w:tab/>
      </w:r>
      <w:r>
        <w:rPr>
          <w:rFonts w:hint="eastAsia" w:ascii="黑体" w:hAnsi="黑体" w:eastAsia="黑体" w:cs="黑体"/>
          <w:sz w:val="18"/>
          <w:szCs w:val="18"/>
        </w:rPr>
        <w:t>1、镜头分辨率：大体摄像成像分辨率≥3800×2100，像素≥800万像素；微观摄像成像分辨率≥2500×1900，像素≥500万像素</w:t>
      </w:r>
    </w:p>
    <w:p w14:paraId="153C03A2">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2、光源照度：LED光源照度≥3000Lux；</w:t>
      </w:r>
    </w:p>
    <w:p w14:paraId="1482865E">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3、放大等级：20X～200X连续可调，放大等级支持无极变倍功能并具有放大等级锁定功能；</w:t>
      </w:r>
    </w:p>
    <w:p w14:paraId="4A48C743">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4、成像视觉分辨力：放大等级为20时，成像视觉分辨力：≥70线对/mm；放大等级为100时，成像视觉分辨力：≥100线对/mm;</w:t>
      </w:r>
    </w:p>
    <w:p w14:paraId="4D68B473">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w:t>
      </w:r>
      <w:r>
        <w:rPr>
          <w:rFonts w:hint="eastAsia" w:ascii="黑体" w:hAnsi="黑体" w:eastAsia="黑体" w:cs="黑体"/>
          <w:sz w:val="18"/>
          <w:szCs w:val="18"/>
        </w:rPr>
        <w:tab/>
      </w:r>
      <w:r>
        <w:rPr>
          <w:rFonts w:hint="eastAsia" w:ascii="黑体" w:hAnsi="黑体" w:eastAsia="黑体" w:cs="黑体"/>
          <w:sz w:val="18"/>
          <w:szCs w:val="18"/>
        </w:rPr>
        <w:t>5、镜头拍摄口径：≥22mm；</w:t>
      </w:r>
    </w:p>
    <w:p w14:paraId="7B6D6946">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6、镜头：配备光学偏光镜，实时放大，支持非偏振、偏振、浸润三种模式,偏振角度0-90可任意调整；</w:t>
      </w:r>
    </w:p>
    <w:p w14:paraId="4383C3BB">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7、对焦方式：支持自动对焦和手动对焦</w:t>
      </w:r>
    </w:p>
    <w:p w14:paraId="68C6FACF">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8、倍率误差：≤±0.1%</w:t>
      </w:r>
    </w:p>
    <w:p w14:paraId="7EA42790">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9、大体摄像图像传感器：CMOS≥800 万像素，微观摄像图像传感器：CMOS≥500 万像素</w:t>
      </w:r>
    </w:p>
    <w:p w14:paraId="5DEE1D2E">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10、大体图像采集分辨率：≥3800×2100，60fps，微观摄像成像分辨率≥2500×1900，60fps</w:t>
      </w:r>
    </w:p>
    <w:p w14:paraId="7ECF1C8A">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11、信噪比：≥40dB</w:t>
      </w:r>
    </w:p>
    <w:p w14:paraId="6115BAED">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12、像素缺陷：≤2个，且中央图像区25%面积的像素缺陷≤0 个</w:t>
      </w:r>
    </w:p>
    <w:p w14:paraId="1AC0A636">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13、图像畸变率：≤±5%</w:t>
      </w:r>
    </w:p>
    <w:p w14:paraId="4EAE004D">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14、成像均匀度：≥85%</w:t>
      </w:r>
    </w:p>
    <w:p w14:paraId="742F74A0">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15、图像中心偏差：≤1mm</w:t>
      </w:r>
    </w:p>
    <w:p w14:paraId="531B0211">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16、白平衡调节方式：手动/自动，可调。</w:t>
      </w:r>
    </w:p>
    <w:p w14:paraId="0F4F1E62">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17、曝光：自动</w:t>
      </w:r>
    </w:p>
    <w:p w14:paraId="0EFD6119">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18、镜头通光口径：10X时≥22mm</w:t>
      </w:r>
    </w:p>
    <w:p w14:paraId="4392115D">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19、成像视野范围：22mm×22mm，±1mm</w:t>
      </w:r>
    </w:p>
    <w:p w14:paraId="1C7F942C">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20、光源波长：400nm＜λ＜700nm</w:t>
      </w:r>
    </w:p>
    <w:p w14:paraId="0D401F3F">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21、光源照度：内置LED光源，光源照度5500Lux-13000Lux可调，色温6300±200</w:t>
      </w:r>
    </w:p>
    <w:p w14:paraId="640776E5">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22、受照面温升：ΔT≤2℃。</w:t>
      </w:r>
    </w:p>
    <w:p w14:paraId="6AEDAD42">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23、防交叉感染：采用与镜头一体式硬质材料物理隔离，透光率≥85%</w:t>
      </w:r>
    </w:p>
    <w:p w14:paraId="379EDCED">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24、图像传输方式：高清实时传输</w:t>
      </w:r>
    </w:p>
    <w:p w14:paraId="052F9056">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25、图像采集方式：实时采集，方式≥2种：手柄采集、电脑操控</w:t>
      </w:r>
    </w:p>
    <w:p w14:paraId="784816B1">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26、信息管理：患者信息至少包含姓名、年龄、ID号、电话、身份证号、申请医生、医生意见、图像分析、疾病类别。</w:t>
      </w:r>
    </w:p>
    <w:p w14:paraId="517DDB95">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27、信息录入：支持新建、导入病历、身份证，医保卡采集</w:t>
      </w:r>
    </w:p>
    <w:p w14:paraId="3926DEEC">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28、信息查询：包含按姓名、年龄、ID号、疾病进行模糊查询及关键词查询、统计；可按检查日期方式随诊跟踪与查询</w:t>
      </w:r>
    </w:p>
    <w:p w14:paraId="0E90B933">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29、图像获取：支持图像实时观测、采集、存储</w:t>
      </w:r>
    </w:p>
    <w:p w14:paraId="277A0547">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30、图像处理：镜像、反色、标定、标注、颜色、饱和度、亮度、对比度调节等</w:t>
      </w:r>
    </w:p>
    <w:p w14:paraId="49D741F3">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31、测量工具：直线、曲线、角度、面积、矩形、多边形、十字线、直尺</w:t>
      </w:r>
    </w:p>
    <w:p w14:paraId="03EBAD9D">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32、测量方法： 自动，手动，智能AI，支持毛发的直径，单位面积毛囊数、毛发数、毛发直径测量</w:t>
      </w:r>
    </w:p>
    <w:p w14:paraId="5D2156B4">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33、毛发分析功能：自动统计毛发数量，密度；根据放大倍数，自动测算面积；可观察头皮血管状况</w:t>
      </w:r>
    </w:p>
    <w:p w14:paraId="0A3CDF65">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34、报告输出：彩色激光打印机，支持2 种以上介质报告输出，可兼容外部来源图片输出，每份报告可合并输出图片≥2张</w:t>
      </w:r>
    </w:p>
    <w:p w14:paraId="01FA0992">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35、输出分辨率：≥5760X1440dpi</w:t>
      </w:r>
    </w:p>
    <w:p w14:paraId="6CC07B37">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36、扩展功能：支持免费与医院信息系统连接</w:t>
      </w:r>
    </w:p>
    <w:p w14:paraId="7C88F8AF">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b/>
          <w:bCs/>
          <w:sz w:val="18"/>
          <w:szCs w:val="18"/>
        </w:rPr>
      </w:pPr>
      <w:r>
        <w:rPr>
          <w:rFonts w:hint="eastAsia" w:ascii="黑体" w:hAnsi="黑体" w:eastAsia="黑体" w:cs="黑体"/>
          <w:sz w:val="18"/>
          <w:szCs w:val="18"/>
        </w:rPr>
        <w:tab/>
      </w:r>
      <w:r>
        <w:rPr>
          <w:rFonts w:hint="eastAsia" w:ascii="黑体" w:hAnsi="黑体" w:eastAsia="黑体" w:cs="黑体"/>
          <w:sz w:val="18"/>
          <w:szCs w:val="18"/>
        </w:rPr>
        <w:t>37、电脑：固态硬盘≥1T硬盘、内存≥8G、显示器≥27寸，显示分辨率≥4K</w:t>
      </w:r>
      <w:r>
        <w:rPr>
          <w:rFonts w:hint="eastAsia" w:ascii="黑体" w:hAnsi="黑体" w:eastAsia="黑体" w:cs="黑体"/>
          <w:b/>
          <w:bCs/>
          <w:sz w:val="18"/>
          <w:szCs w:val="18"/>
        </w:rPr>
        <w:br w:type="page"/>
      </w:r>
    </w:p>
    <w:p w14:paraId="4C042AC8">
      <w:pPr>
        <w:keepNext w:val="0"/>
        <w:keepLines w:val="0"/>
        <w:pageBreakBefore w:val="0"/>
        <w:kinsoku/>
        <w:wordWrap/>
        <w:overflowPunct/>
        <w:topLinePunct w:val="0"/>
        <w:autoSpaceDE/>
        <w:autoSpaceDN/>
        <w:bidi w:val="0"/>
        <w:adjustRightInd/>
        <w:snapToGrid/>
        <w:spacing w:line="360" w:lineRule="auto"/>
        <w:outlineLvl w:val="0"/>
        <w:rPr>
          <w:rFonts w:hint="eastAsia" w:ascii="黑体" w:hAnsi="黑体" w:eastAsia="黑体" w:cs="黑体"/>
          <w:b/>
          <w:bCs/>
          <w:sz w:val="18"/>
          <w:szCs w:val="18"/>
        </w:rPr>
      </w:pPr>
      <w:r>
        <w:rPr>
          <w:rFonts w:hint="eastAsia" w:ascii="黑体" w:hAnsi="黑体" w:eastAsia="黑体" w:cs="黑体"/>
          <w:b/>
          <w:bCs/>
          <w:sz w:val="18"/>
          <w:szCs w:val="18"/>
        </w:rPr>
        <w:t>八、低速精密离心机技术参数</w:t>
      </w:r>
      <w:r>
        <w:rPr>
          <w:rFonts w:hint="eastAsia" w:ascii="黑体" w:hAnsi="黑体" w:eastAsia="黑体" w:cs="黑体"/>
          <w:b/>
          <w:bCs/>
          <w:sz w:val="18"/>
          <w:szCs w:val="18"/>
        </w:rPr>
        <w:tab/>
      </w:r>
    </w:p>
    <w:p w14:paraId="2348EA74">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1.最高转速≥4000rpm；</w:t>
      </w:r>
    </w:p>
    <w:p w14:paraId="204F345E">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2.最大相对离心力≥2250xg；</w:t>
      </w:r>
    </w:p>
    <w:p w14:paraId="51AB5629">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3.最大容量≥8*10/15ml（离心管）8*5/10ml(采血管)</w:t>
      </w:r>
    </w:p>
    <w:p w14:paraId="58C9A4FD">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4.转速精度：±5r/min</w:t>
      </w:r>
    </w:p>
    <w:p w14:paraId="06DD35F9">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5.内置≥四种模式；</w:t>
      </w:r>
    </w:p>
    <w:p w14:paraId="19579D23">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6、定时范围覆盖1min～99min，步长≤1min；</w:t>
      </w:r>
    </w:p>
    <w:p w14:paraId="474B6D39">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7、有程序显示；</w:t>
      </w:r>
    </w:p>
    <w:p w14:paraId="0DDDA0BF">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8、有安全锁；</w:t>
      </w:r>
    </w:p>
    <w:p w14:paraId="772EA931">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9、开盖模式包括自动（电动）和手动模式；</w:t>
      </w:r>
    </w:p>
    <w:p w14:paraId="10E6060C">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10、整机噪音：≤60dB(A)；</w:t>
      </w:r>
    </w:p>
    <w:p w14:paraId="692CB72D">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11、电源：AC22V/50Hz；</w:t>
      </w:r>
    </w:p>
    <w:p w14:paraId="4A8A79DD">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p>
    <w:p w14:paraId="3B62D01F">
      <w:pPr>
        <w:keepNext w:val="0"/>
        <w:keepLines w:val="0"/>
        <w:pageBreakBefore w:val="0"/>
        <w:kinsoku/>
        <w:wordWrap/>
        <w:overflowPunct/>
        <w:topLinePunct w:val="0"/>
        <w:autoSpaceDE/>
        <w:autoSpaceDN/>
        <w:bidi w:val="0"/>
        <w:adjustRightInd/>
        <w:snapToGrid/>
        <w:spacing w:line="360" w:lineRule="auto"/>
        <w:outlineLvl w:val="0"/>
        <w:rPr>
          <w:rFonts w:hint="eastAsia" w:ascii="黑体" w:hAnsi="黑体" w:eastAsia="黑体" w:cs="黑体"/>
          <w:b/>
          <w:bCs/>
          <w:sz w:val="18"/>
          <w:szCs w:val="18"/>
        </w:rPr>
      </w:pPr>
      <w:r>
        <w:rPr>
          <w:rFonts w:hint="eastAsia" w:ascii="黑体" w:hAnsi="黑体" w:eastAsia="黑体" w:cs="黑体"/>
          <w:b/>
          <w:bCs/>
          <w:sz w:val="18"/>
          <w:szCs w:val="18"/>
        </w:rPr>
        <w:t>九、分体防护铅衣技术参数</w:t>
      </w:r>
      <w:r>
        <w:rPr>
          <w:rFonts w:hint="eastAsia" w:ascii="黑体" w:hAnsi="黑体" w:eastAsia="黑体" w:cs="黑体"/>
          <w:b/>
          <w:bCs/>
          <w:sz w:val="18"/>
          <w:szCs w:val="18"/>
        </w:rPr>
        <w:tab/>
      </w:r>
    </w:p>
    <w:p w14:paraId="2D1CCA81">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分体式医用射线防护裙，用于介入手术中人员X射线防护</w:t>
      </w:r>
    </w:p>
    <w:p w14:paraId="4D7ABA43">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w:t>
      </w:r>
      <w:r>
        <w:rPr>
          <w:rFonts w:hint="eastAsia" w:ascii="黑体" w:hAnsi="黑体" w:eastAsia="黑体" w:cs="黑体"/>
          <w:sz w:val="18"/>
          <w:szCs w:val="18"/>
        </w:rPr>
        <w:tab/>
      </w:r>
      <w:r>
        <w:rPr>
          <w:rFonts w:hint="eastAsia" w:ascii="黑体" w:hAnsi="黑体" w:eastAsia="黑体" w:cs="黑体"/>
          <w:sz w:val="18"/>
          <w:szCs w:val="18"/>
        </w:rPr>
        <w:t>1. 铅当量：前面≥0.5mmpb，后面：≥0.25mmpb；</w:t>
      </w:r>
    </w:p>
    <w:p w14:paraId="69F0A0A6">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2. 上衣和下裙分体式提供前身和后身全面防护，正面左右襟重叠</w:t>
      </w:r>
    </w:p>
    <w:p w14:paraId="1440DADF">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3. 内部采用柔软材质，铅分布均匀</w:t>
      </w:r>
    </w:p>
    <w:p w14:paraId="72B9FC70">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4. 表面为双面防水牛津布材质；</w:t>
      </w:r>
    </w:p>
    <w:p w14:paraId="5B258137">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5.  配备独立颈部防护围领，铅当量≥0.5mmpb。</w:t>
      </w:r>
    </w:p>
    <w:p w14:paraId="55A9255B">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6. 配备衣撑，用于防护裙悬挂存储</w:t>
      </w:r>
    </w:p>
    <w:p w14:paraId="3CBFF914">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p>
    <w:p w14:paraId="28816FA6">
      <w:pPr>
        <w:keepNext w:val="0"/>
        <w:keepLines w:val="0"/>
        <w:pageBreakBefore w:val="0"/>
        <w:kinsoku/>
        <w:wordWrap/>
        <w:overflowPunct/>
        <w:topLinePunct w:val="0"/>
        <w:autoSpaceDE/>
        <w:autoSpaceDN/>
        <w:bidi w:val="0"/>
        <w:adjustRightInd/>
        <w:snapToGrid/>
        <w:spacing w:line="360" w:lineRule="auto"/>
        <w:outlineLvl w:val="0"/>
        <w:rPr>
          <w:rFonts w:hint="eastAsia" w:ascii="黑体" w:hAnsi="黑体" w:eastAsia="黑体" w:cs="黑体"/>
          <w:b/>
          <w:bCs/>
          <w:sz w:val="18"/>
          <w:szCs w:val="18"/>
        </w:rPr>
      </w:pPr>
      <w:r>
        <w:rPr>
          <w:rFonts w:hint="eastAsia" w:ascii="黑体" w:hAnsi="黑体" w:eastAsia="黑体" w:cs="黑体"/>
          <w:b/>
          <w:bCs/>
          <w:sz w:val="18"/>
          <w:szCs w:val="18"/>
        </w:rPr>
        <w:t>十、转运车技术参数</w:t>
      </w:r>
      <w:r>
        <w:rPr>
          <w:rFonts w:hint="eastAsia" w:ascii="黑体" w:hAnsi="黑体" w:eastAsia="黑体" w:cs="黑体"/>
          <w:b/>
          <w:bCs/>
          <w:sz w:val="18"/>
          <w:szCs w:val="18"/>
        </w:rPr>
        <w:tab/>
      </w:r>
    </w:p>
    <w:p w14:paraId="71DD6A8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黑体" w:hAnsi="黑体" w:eastAsia="黑体" w:cs="黑体"/>
          <w:sz w:val="18"/>
          <w:szCs w:val="18"/>
        </w:rPr>
      </w:pPr>
      <w:r>
        <w:rPr>
          <w:rFonts w:hint="eastAsia" w:ascii="黑体" w:hAnsi="黑体" w:eastAsia="黑体" w:cs="黑体"/>
          <w:sz w:val="18"/>
          <w:szCs w:val="18"/>
        </w:rPr>
        <w:t>★</w:t>
      </w:r>
      <w:r>
        <w:rPr>
          <w:rFonts w:hint="eastAsia" w:ascii="黑体" w:hAnsi="黑体" w:eastAsia="黑体" w:cs="黑体"/>
          <w:sz w:val="18"/>
          <w:szCs w:val="18"/>
          <w:lang w:val="en-US" w:eastAsia="zh-CN"/>
        </w:rPr>
        <w:t xml:space="preserve">  </w:t>
      </w:r>
      <w:r>
        <w:rPr>
          <w:rFonts w:hint="eastAsia" w:ascii="黑体" w:hAnsi="黑体" w:eastAsia="黑体" w:cs="黑体"/>
          <w:sz w:val="18"/>
          <w:szCs w:val="18"/>
        </w:rPr>
        <w:t>1、尺寸：长度≥1900mm宽度≥650mm；安全工作载荷≥170Kg。</w:t>
      </w:r>
    </w:p>
    <w:p w14:paraId="6BF53B2E">
      <w:pPr>
        <w:keepNext w:val="0"/>
        <w:keepLines w:val="0"/>
        <w:pageBreakBefore w:val="0"/>
        <w:widowControl w:val="0"/>
        <w:kinsoku/>
        <w:wordWrap/>
        <w:overflowPunct/>
        <w:topLinePunct w:val="0"/>
        <w:autoSpaceDE/>
        <w:autoSpaceDN/>
        <w:bidi w:val="0"/>
        <w:adjustRightInd/>
        <w:snapToGrid/>
        <w:spacing w:line="360" w:lineRule="auto"/>
        <w:ind w:firstLine="360" w:firstLineChars="200"/>
        <w:textAlignment w:val="auto"/>
        <w:rPr>
          <w:rFonts w:hint="eastAsia" w:ascii="黑体" w:hAnsi="黑体" w:eastAsia="黑体" w:cs="黑体"/>
          <w:sz w:val="18"/>
          <w:szCs w:val="18"/>
        </w:rPr>
      </w:pPr>
      <w:r>
        <w:rPr>
          <w:rFonts w:hint="eastAsia" w:ascii="黑体" w:hAnsi="黑体" w:eastAsia="黑体" w:cs="黑体"/>
          <w:sz w:val="18"/>
          <w:szCs w:val="18"/>
        </w:rPr>
        <w:t>2、高度调节范围覆盖600mm-850mm</w:t>
      </w:r>
    </w:p>
    <w:p w14:paraId="33F3C467">
      <w:pPr>
        <w:keepNext w:val="0"/>
        <w:keepLines w:val="0"/>
        <w:pageBreakBefore w:val="0"/>
        <w:widowControl w:val="0"/>
        <w:kinsoku/>
        <w:wordWrap/>
        <w:overflowPunct/>
        <w:topLinePunct w:val="0"/>
        <w:autoSpaceDE/>
        <w:autoSpaceDN/>
        <w:bidi w:val="0"/>
        <w:adjustRightInd/>
        <w:snapToGrid/>
        <w:spacing w:line="360" w:lineRule="auto"/>
        <w:ind w:firstLine="360" w:firstLineChars="200"/>
        <w:textAlignment w:val="auto"/>
        <w:rPr>
          <w:rFonts w:hint="eastAsia" w:ascii="黑体" w:hAnsi="黑体" w:eastAsia="黑体" w:cs="黑体"/>
          <w:sz w:val="18"/>
          <w:szCs w:val="18"/>
        </w:rPr>
      </w:pPr>
      <w:r>
        <w:rPr>
          <w:rFonts w:hint="eastAsia" w:ascii="黑体" w:hAnsi="黑体" w:eastAsia="黑体" w:cs="黑体"/>
          <w:color w:val="auto"/>
          <w:sz w:val="18"/>
          <w:szCs w:val="18"/>
        </w:rPr>
        <w:t>3、产品由床架、床面、护栏、脚轮、手摇升降系统、输液架组成。具备体位倾斜功能背框最大折起角：≥45°，具</w:t>
      </w:r>
      <w:r>
        <w:rPr>
          <w:rFonts w:hint="eastAsia" w:ascii="黑体" w:hAnsi="黑体" w:eastAsia="黑体" w:cs="黑体"/>
          <w:sz w:val="18"/>
          <w:szCs w:val="18"/>
        </w:rPr>
        <w:t>备升降的功能，调节范围≥300mm。</w:t>
      </w:r>
    </w:p>
    <w:p w14:paraId="5768F576">
      <w:pPr>
        <w:keepNext w:val="0"/>
        <w:keepLines w:val="0"/>
        <w:pageBreakBefore w:val="0"/>
        <w:widowControl w:val="0"/>
        <w:kinsoku/>
        <w:wordWrap/>
        <w:overflowPunct/>
        <w:topLinePunct w:val="0"/>
        <w:autoSpaceDE/>
        <w:autoSpaceDN/>
        <w:bidi w:val="0"/>
        <w:adjustRightInd/>
        <w:snapToGrid/>
        <w:spacing w:line="360" w:lineRule="auto"/>
        <w:ind w:firstLine="360" w:firstLineChars="200"/>
        <w:textAlignment w:val="auto"/>
        <w:rPr>
          <w:rFonts w:hint="eastAsia" w:ascii="黑体" w:hAnsi="黑体" w:eastAsia="黑体" w:cs="黑体"/>
          <w:sz w:val="18"/>
          <w:szCs w:val="18"/>
        </w:rPr>
      </w:pPr>
      <w:r>
        <w:rPr>
          <w:rFonts w:hint="eastAsia" w:ascii="黑体" w:hAnsi="黑体" w:eastAsia="黑体" w:cs="黑体"/>
          <w:sz w:val="18"/>
          <w:szCs w:val="18"/>
        </w:rPr>
        <w:t>4、床面、护栏、脚轮防尘罩等由PP、PE等环保材料制成，床架采用金属材质制造，并经除锈处理后静电喷涂；</w:t>
      </w:r>
    </w:p>
    <w:p w14:paraId="663D64BD">
      <w:pPr>
        <w:keepNext w:val="0"/>
        <w:keepLines w:val="0"/>
        <w:pageBreakBefore w:val="0"/>
        <w:widowControl w:val="0"/>
        <w:kinsoku/>
        <w:wordWrap/>
        <w:overflowPunct/>
        <w:topLinePunct w:val="0"/>
        <w:autoSpaceDE/>
        <w:autoSpaceDN/>
        <w:bidi w:val="0"/>
        <w:adjustRightInd/>
        <w:snapToGrid/>
        <w:spacing w:line="360" w:lineRule="auto"/>
        <w:ind w:firstLine="360" w:firstLineChars="200"/>
        <w:textAlignment w:val="auto"/>
        <w:rPr>
          <w:rFonts w:hint="eastAsia" w:ascii="黑体" w:hAnsi="黑体" w:eastAsia="黑体" w:cs="黑体"/>
          <w:sz w:val="18"/>
          <w:szCs w:val="18"/>
        </w:rPr>
      </w:pPr>
      <w:r>
        <w:rPr>
          <w:rFonts w:hint="eastAsia" w:ascii="黑体" w:hAnsi="黑体" w:eastAsia="黑体" w:cs="黑体"/>
          <w:sz w:val="18"/>
          <w:szCs w:val="18"/>
        </w:rPr>
        <w:t>5、配备不锈钢可调节输液架</w:t>
      </w:r>
    </w:p>
    <w:p w14:paraId="4A77A0F1">
      <w:pPr>
        <w:keepNext w:val="0"/>
        <w:keepLines w:val="0"/>
        <w:pageBreakBefore w:val="0"/>
        <w:widowControl w:val="0"/>
        <w:kinsoku/>
        <w:wordWrap/>
        <w:overflowPunct/>
        <w:topLinePunct w:val="0"/>
        <w:autoSpaceDE/>
        <w:autoSpaceDN/>
        <w:bidi w:val="0"/>
        <w:adjustRightInd/>
        <w:snapToGrid/>
        <w:spacing w:line="360" w:lineRule="auto"/>
        <w:ind w:firstLine="360" w:firstLineChars="200"/>
        <w:textAlignment w:val="auto"/>
        <w:rPr>
          <w:rFonts w:hint="eastAsia" w:ascii="黑体" w:hAnsi="黑体" w:eastAsia="黑体" w:cs="黑体"/>
          <w:sz w:val="18"/>
          <w:szCs w:val="18"/>
        </w:rPr>
      </w:pPr>
      <w:r>
        <w:rPr>
          <w:rFonts w:hint="eastAsia" w:ascii="黑体" w:hAnsi="黑体" w:eastAsia="黑体" w:cs="黑体"/>
          <w:sz w:val="18"/>
          <w:szCs w:val="18"/>
        </w:rPr>
        <w:t>6、配备高强度床垫。</w:t>
      </w:r>
    </w:p>
    <w:p w14:paraId="28EE7875">
      <w:pPr>
        <w:keepNext w:val="0"/>
        <w:keepLines w:val="0"/>
        <w:pageBreakBefore w:val="0"/>
        <w:widowControl w:val="0"/>
        <w:kinsoku/>
        <w:wordWrap/>
        <w:overflowPunct/>
        <w:topLinePunct w:val="0"/>
        <w:autoSpaceDE/>
        <w:autoSpaceDN/>
        <w:bidi w:val="0"/>
        <w:adjustRightInd/>
        <w:snapToGrid/>
        <w:spacing w:line="360" w:lineRule="auto"/>
        <w:ind w:firstLine="360" w:firstLineChars="200"/>
        <w:textAlignment w:val="auto"/>
        <w:rPr>
          <w:rFonts w:hint="eastAsia" w:ascii="黑体" w:hAnsi="黑体" w:eastAsia="黑体" w:cs="黑体"/>
          <w:sz w:val="18"/>
          <w:szCs w:val="18"/>
        </w:rPr>
      </w:pPr>
      <w:r>
        <w:rPr>
          <w:rFonts w:hint="eastAsia" w:ascii="黑体" w:hAnsi="黑体" w:eastAsia="黑体" w:cs="黑体"/>
          <w:sz w:val="18"/>
          <w:szCs w:val="18"/>
        </w:rPr>
        <w:t>7、头部底部配有附属搁架可装放氧气瓶，便于抢救病人用。</w:t>
      </w:r>
    </w:p>
    <w:p w14:paraId="70927733">
      <w:pPr>
        <w:keepNext w:val="0"/>
        <w:keepLines w:val="0"/>
        <w:pageBreakBefore w:val="0"/>
        <w:widowControl w:val="0"/>
        <w:kinsoku/>
        <w:wordWrap/>
        <w:overflowPunct/>
        <w:topLinePunct w:val="0"/>
        <w:autoSpaceDE/>
        <w:autoSpaceDN/>
        <w:bidi w:val="0"/>
        <w:adjustRightInd/>
        <w:snapToGrid/>
        <w:spacing w:line="360" w:lineRule="auto"/>
        <w:ind w:firstLine="360" w:firstLineChars="200"/>
        <w:textAlignment w:val="auto"/>
        <w:rPr>
          <w:rFonts w:hint="eastAsia" w:ascii="黑体" w:hAnsi="黑体" w:eastAsia="黑体" w:cs="黑体"/>
          <w:sz w:val="18"/>
          <w:szCs w:val="18"/>
        </w:rPr>
      </w:pPr>
      <w:r>
        <w:rPr>
          <w:rFonts w:hint="eastAsia" w:ascii="黑体" w:hAnsi="黑体" w:eastAsia="黑体" w:cs="黑体"/>
          <w:sz w:val="18"/>
          <w:szCs w:val="18"/>
        </w:rPr>
        <w:t>8、配备双侧隐藏式护栏，护栏可完全收于床面之下。</w:t>
      </w:r>
    </w:p>
    <w:p w14:paraId="07A97DD0">
      <w:pPr>
        <w:keepNext w:val="0"/>
        <w:keepLines w:val="0"/>
        <w:pageBreakBefore w:val="0"/>
        <w:widowControl w:val="0"/>
        <w:kinsoku/>
        <w:wordWrap/>
        <w:overflowPunct/>
        <w:topLinePunct w:val="0"/>
        <w:autoSpaceDE/>
        <w:autoSpaceDN/>
        <w:bidi w:val="0"/>
        <w:adjustRightInd/>
        <w:snapToGrid/>
        <w:spacing w:line="360" w:lineRule="auto"/>
        <w:ind w:firstLine="360" w:firstLineChars="200"/>
        <w:textAlignment w:val="auto"/>
        <w:rPr>
          <w:rFonts w:hint="eastAsia" w:ascii="黑体" w:hAnsi="黑体" w:eastAsia="黑体" w:cs="黑体"/>
          <w:sz w:val="18"/>
          <w:szCs w:val="18"/>
        </w:rPr>
      </w:pPr>
      <w:r>
        <w:rPr>
          <w:rFonts w:hint="eastAsia" w:ascii="黑体" w:hAnsi="黑体" w:eastAsia="黑体" w:cs="黑体"/>
          <w:sz w:val="18"/>
          <w:szCs w:val="18"/>
        </w:rPr>
        <w:t>9、所有表面不得有锋棱、毛刺、疤痕等缺陷，焊缝应均匀，不得有烧损、冷裂、漏焊等缺陷。</w:t>
      </w:r>
    </w:p>
    <w:p w14:paraId="21E25578">
      <w:pPr>
        <w:keepNext w:val="0"/>
        <w:keepLines w:val="0"/>
        <w:pageBreakBefore w:val="0"/>
        <w:widowControl w:val="0"/>
        <w:kinsoku/>
        <w:wordWrap/>
        <w:overflowPunct/>
        <w:topLinePunct w:val="0"/>
        <w:autoSpaceDE/>
        <w:autoSpaceDN/>
        <w:bidi w:val="0"/>
        <w:adjustRightInd/>
        <w:snapToGrid/>
        <w:spacing w:line="360" w:lineRule="auto"/>
        <w:ind w:firstLine="360" w:firstLineChars="200"/>
        <w:textAlignment w:val="auto"/>
        <w:rPr>
          <w:rFonts w:hint="eastAsia" w:ascii="黑体" w:hAnsi="黑体" w:eastAsia="黑体" w:cs="黑体"/>
          <w:sz w:val="18"/>
          <w:szCs w:val="18"/>
        </w:rPr>
      </w:pPr>
      <w:r>
        <w:rPr>
          <w:rFonts w:hint="eastAsia" w:ascii="黑体" w:hAnsi="黑体" w:eastAsia="黑体" w:cs="黑体"/>
          <w:sz w:val="18"/>
          <w:szCs w:val="18"/>
        </w:rPr>
        <w:t>10、推动应轻便、转动应灵活，锁止应可靠，并与脚轮装配牢固。</w:t>
      </w:r>
    </w:p>
    <w:p w14:paraId="355C1CDB">
      <w:pPr>
        <w:keepNext w:val="0"/>
        <w:keepLines w:val="0"/>
        <w:pageBreakBefore w:val="0"/>
        <w:widowControl w:val="0"/>
        <w:kinsoku/>
        <w:wordWrap/>
        <w:overflowPunct/>
        <w:topLinePunct w:val="0"/>
        <w:autoSpaceDE/>
        <w:autoSpaceDN/>
        <w:bidi w:val="0"/>
        <w:adjustRightInd/>
        <w:snapToGrid/>
        <w:spacing w:line="360" w:lineRule="auto"/>
        <w:ind w:firstLine="360" w:firstLineChars="200"/>
        <w:textAlignment w:val="auto"/>
        <w:rPr>
          <w:rFonts w:hint="eastAsia" w:ascii="黑体" w:hAnsi="黑体" w:eastAsia="黑体" w:cs="黑体"/>
          <w:sz w:val="18"/>
          <w:szCs w:val="18"/>
        </w:rPr>
      </w:pPr>
      <w:r>
        <w:rPr>
          <w:rFonts w:hint="eastAsia" w:ascii="黑体" w:hAnsi="黑体" w:eastAsia="黑体" w:cs="黑体"/>
          <w:sz w:val="18"/>
          <w:szCs w:val="18"/>
        </w:rPr>
        <w:t>11、输液架，高度可调节，调节范围大于 800mm～1500mm，可承受最大负载≥5KG。</w:t>
      </w:r>
    </w:p>
    <w:p w14:paraId="11EE9325">
      <w:pPr>
        <w:keepNext w:val="0"/>
        <w:keepLines w:val="0"/>
        <w:pageBreakBefore w:val="0"/>
        <w:widowControl w:val="0"/>
        <w:kinsoku/>
        <w:wordWrap/>
        <w:overflowPunct/>
        <w:topLinePunct w:val="0"/>
        <w:autoSpaceDE/>
        <w:autoSpaceDN/>
        <w:bidi w:val="0"/>
        <w:adjustRightInd/>
        <w:snapToGrid/>
        <w:spacing w:line="360" w:lineRule="auto"/>
        <w:ind w:firstLine="360" w:firstLineChars="200"/>
        <w:textAlignment w:val="auto"/>
        <w:rPr>
          <w:rFonts w:hint="eastAsia" w:ascii="黑体" w:hAnsi="黑体" w:eastAsia="黑体" w:cs="黑体"/>
          <w:sz w:val="18"/>
          <w:szCs w:val="18"/>
        </w:rPr>
      </w:pPr>
      <w:r>
        <w:rPr>
          <w:rFonts w:hint="eastAsia" w:ascii="黑体" w:hAnsi="黑体" w:eastAsia="黑体" w:cs="黑体"/>
          <w:sz w:val="18"/>
          <w:szCs w:val="18"/>
        </w:rPr>
        <w:t>12、输液架孔≥2个，输液架不使用时可放于床面下方。</w:t>
      </w:r>
    </w:p>
    <w:p w14:paraId="77ED7AD2">
      <w:pPr>
        <w:keepNext w:val="0"/>
        <w:keepLines w:val="0"/>
        <w:pageBreakBefore w:val="0"/>
        <w:widowControl w:val="0"/>
        <w:kinsoku/>
        <w:wordWrap/>
        <w:overflowPunct/>
        <w:topLinePunct w:val="0"/>
        <w:autoSpaceDE/>
        <w:autoSpaceDN/>
        <w:bidi w:val="0"/>
        <w:adjustRightInd/>
        <w:snapToGrid/>
        <w:spacing w:line="360" w:lineRule="auto"/>
        <w:ind w:firstLine="360" w:firstLineChars="200"/>
        <w:textAlignment w:val="auto"/>
        <w:rPr>
          <w:rFonts w:hint="eastAsia" w:ascii="黑体" w:hAnsi="黑体" w:eastAsia="黑体" w:cs="黑体"/>
          <w:sz w:val="18"/>
          <w:szCs w:val="18"/>
        </w:rPr>
      </w:pPr>
      <w:r>
        <w:rPr>
          <w:rFonts w:hint="eastAsia" w:ascii="黑体" w:hAnsi="黑体" w:eastAsia="黑体" w:cs="黑体"/>
          <w:sz w:val="18"/>
          <w:szCs w:val="18"/>
        </w:rPr>
        <w:t>13、在空载时，摇动手柄启动力应不大于10 N m。手柄在不使用时，应能折入车架内，不得露出车架外面。</w:t>
      </w:r>
    </w:p>
    <w:p w14:paraId="3A893EAF">
      <w:pPr>
        <w:keepNext w:val="0"/>
        <w:keepLines w:val="0"/>
        <w:pageBreakBefore w:val="0"/>
        <w:widowControl w:val="0"/>
        <w:kinsoku/>
        <w:wordWrap/>
        <w:overflowPunct/>
        <w:topLinePunct w:val="0"/>
        <w:autoSpaceDE/>
        <w:autoSpaceDN/>
        <w:bidi w:val="0"/>
        <w:adjustRightInd/>
        <w:snapToGrid/>
        <w:spacing w:line="360" w:lineRule="auto"/>
        <w:ind w:firstLine="360" w:firstLineChars="200"/>
        <w:textAlignment w:val="auto"/>
        <w:rPr>
          <w:rFonts w:hint="eastAsia" w:ascii="黑体" w:hAnsi="黑体" w:eastAsia="黑体" w:cs="黑体"/>
          <w:sz w:val="18"/>
          <w:szCs w:val="18"/>
        </w:rPr>
      </w:pPr>
      <w:r>
        <w:rPr>
          <w:rFonts w:hint="eastAsia" w:ascii="黑体" w:hAnsi="黑体" w:eastAsia="黑体" w:cs="黑体"/>
          <w:sz w:val="18"/>
          <w:szCs w:val="18"/>
        </w:rPr>
        <w:t>14、护栏必须在经受正常使用时施加的力而不发生安全方面的危险。</w:t>
      </w:r>
    </w:p>
    <w:p w14:paraId="3615F1C7">
      <w:pPr>
        <w:keepNext w:val="0"/>
        <w:keepLines w:val="0"/>
        <w:pageBreakBefore w:val="0"/>
        <w:widowControl w:val="0"/>
        <w:kinsoku/>
        <w:wordWrap/>
        <w:overflowPunct/>
        <w:topLinePunct w:val="0"/>
        <w:autoSpaceDE/>
        <w:autoSpaceDN/>
        <w:bidi w:val="0"/>
        <w:adjustRightInd/>
        <w:snapToGrid/>
        <w:spacing w:line="360" w:lineRule="auto"/>
        <w:ind w:firstLine="360" w:firstLineChars="200"/>
        <w:textAlignment w:val="auto"/>
        <w:rPr>
          <w:rFonts w:hint="eastAsia" w:ascii="黑体" w:hAnsi="黑体" w:eastAsia="黑体" w:cs="黑体"/>
          <w:sz w:val="18"/>
          <w:szCs w:val="18"/>
        </w:rPr>
      </w:pPr>
      <w:r>
        <w:rPr>
          <w:rFonts w:hint="eastAsia" w:ascii="黑体" w:hAnsi="黑体" w:eastAsia="黑体" w:cs="黑体"/>
          <w:sz w:val="18"/>
          <w:szCs w:val="18"/>
        </w:rPr>
        <w:t>15、配备高强度、高抗磨、静音脚轮，无噪音、防缠绕，直径≥150mm。</w:t>
      </w:r>
    </w:p>
    <w:p w14:paraId="18B298DA">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p>
    <w:p w14:paraId="363A7934">
      <w:pPr>
        <w:keepNext w:val="0"/>
        <w:keepLines w:val="0"/>
        <w:pageBreakBefore w:val="0"/>
        <w:kinsoku/>
        <w:wordWrap/>
        <w:overflowPunct/>
        <w:topLinePunct w:val="0"/>
        <w:autoSpaceDE/>
        <w:autoSpaceDN/>
        <w:bidi w:val="0"/>
        <w:adjustRightInd/>
        <w:snapToGrid/>
        <w:spacing w:line="360" w:lineRule="auto"/>
        <w:outlineLvl w:val="0"/>
        <w:rPr>
          <w:rFonts w:hint="eastAsia" w:ascii="黑体" w:hAnsi="黑体" w:eastAsia="黑体" w:cs="黑体"/>
          <w:sz w:val="18"/>
          <w:szCs w:val="18"/>
        </w:rPr>
      </w:pPr>
      <w:r>
        <w:rPr>
          <w:rFonts w:hint="eastAsia" w:ascii="黑体" w:hAnsi="黑体" w:eastAsia="黑体" w:cs="黑体"/>
          <w:b/>
          <w:bCs/>
          <w:sz w:val="18"/>
          <w:szCs w:val="18"/>
        </w:rPr>
        <w:t>十一、二氧化碳激光治疗机技术参数</w:t>
      </w:r>
      <w:r>
        <w:rPr>
          <w:rFonts w:hint="eastAsia" w:ascii="黑体" w:hAnsi="黑体" w:eastAsia="黑体" w:cs="黑体"/>
          <w:b/>
          <w:bCs/>
          <w:sz w:val="18"/>
          <w:szCs w:val="18"/>
        </w:rPr>
        <w:tab/>
      </w:r>
    </w:p>
    <w:p w14:paraId="47142318">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w:t>
      </w:r>
      <w:r>
        <w:rPr>
          <w:rFonts w:hint="eastAsia" w:ascii="黑体" w:hAnsi="黑体" w:eastAsia="黑体" w:cs="黑体"/>
          <w:sz w:val="18"/>
          <w:szCs w:val="18"/>
        </w:rPr>
        <w:tab/>
      </w:r>
      <w:r>
        <w:rPr>
          <w:rFonts w:hint="eastAsia" w:ascii="黑体" w:hAnsi="黑体" w:eastAsia="黑体" w:cs="黑体"/>
          <w:sz w:val="18"/>
          <w:szCs w:val="18"/>
        </w:rPr>
        <w:t>1、激光器为封离式二氧化碳激光器</w:t>
      </w:r>
    </w:p>
    <w:p w14:paraId="037E3A58">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2、输出模式为多模</w:t>
      </w:r>
    </w:p>
    <w:p w14:paraId="1F465B1C">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3、内置水循环冷却</w:t>
      </w:r>
    </w:p>
    <w:p w14:paraId="4E73BF88">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4、激光波长为 10.6μm±0.1μm</w:t>
      </w:r>
    </w:p>
    <w:p w14:paraId="6BD0B19B">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5、光束终端发散角：θ≤20mrad</w:t>
      </w:r>
    </w:p>
    <w:p w14:paraId="5EAE8585">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6、光斑（焦点）直径：Φ≤0.8mm</w:t>
      </w:r>
    </w:p>
    <w:p w14:paraId="31F2B12E">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7、终端输出激光最大功率：≥20W</w:t>
      </w:r>
    </w:p>
    <w:p w14:paraId="67985418">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8、单次脉冲、重复脉冲输出功率调节范围不小于：0W-20W，且调节步进≤1W，</w:t>
      </w:r>
    </w:p>
    <w:p w14:paraId="3EA00269">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9、激光功率不稳定度：≤10%；</w:t>
      </w:r>
    </w:p>
    <w:p w14:paraId="6869D7EC">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10、激光功率复现性：≤10%；</w:t>
      </w:r>
    </w:p>
    <w:p w14:paraId="0068413E">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11、指示光系统：波长 650nm±50nm，功率≤5mW</w:t>
      </w:r>
    </w:p>
    <w:p w14:paraId="4C4E6C6D">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13、导光系统：≥7 关节式导光臂</w:t>
      </w:r>
    </w:p>
    <w:p w14:paraId="1B079A4E">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14、导光臂应配备4种以上激光刀头</w:t>
      </w:r>
    </w:p>
    <w:p w14:paraId="6E6CC704">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15、刀头焦距至少包括：f=100mm 、f=50mm</w:t>
      </w:r>
    </w:p>
    <w:p w14:paraId="60B13DC3">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16、输出方式：≥3 种，含连续输出、单次输出、重复脉冲输出</w:t>
      </w:r>
    </w:p>
    <w:p w14:paraId="769BF759">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17、输出控制：脚踏开关，有防误踩保护设计</w:t>
      </w:r>
    </w:p>
    <w:p w14:paraId="471403E2">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18、单次脉冲、重复脉冲持续时间调节范围不小于：0.01～1 秒，且调节步进≤0.01秒，允许误差≤20%</w:t>
      </w:r>
    </w:p>
    <w:p w14:paraId="3F0516C5">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19、重复脉冲间隔时间调节范围不小于：0.01～1 秒，且调节步进≤0.01 秒，允许误差≤20%</w:t>
      </w:r>
    </w:p>
    <w:p w14:paraId="7A609360">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21、具备过载及冷却故障自动保护</w:t>
      </w:r>
    </w:p>
    <w:p w14:paraId="702C28FB">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22、配备排烟系统</w:t>
      </w:r>
    </w:p>
    <w:p w14:paraId="0871F624">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23、激光防护眼镜：可见光透射比：≥65%，对治疗波长的光密度：≥4</w:t>
      </w:r>
    </w:p>
    <w:p w14:paraId="66BBA03F">
      <w:pPr>
        <w:keepNext w:val="0"/>
        <w:keepLines w:val="0"/>
        <w:pageBreakBefore w:val="0"/>
        <w:kinsoku/>
        <w:wordWrap/>
        <w:overflowPunct/>
        <w:topLinePunct w:val="0"/>
        <w:autoSpaceDE/>
        <w:autoSpaceDN/>
        <w:bidi w:val="0"/>
        <w:adjustRightInd/>
        <w:snapToGrid/>
        <w:spacing w:line="360" w:lineRule="auto"/>
        <w:rPr>
          <w:rFonts w:hint="default" w:ascii="黑体" w:hAnsi="黑体" w:eastAsia="黑体" w:cs="黑体"/>
          <w:sz w:val="18"/>
          <w:szCs w:val="18"/>
          <w:lang w:val="en-US" w:eastAsia="zh-CN"/>
        </w:rPr>
      </w:pPr>
      <w:r>
        <w:rPr>
          <w:rFonts w:hint="eastAsia" w:ascii="黑体" w:hAnsi="黑体" w:eastAsia="黑体" w:cs="黑体"/>
          <w:sz w:val="18"/>
          <w:szCs w:val="18"/>
        </w:rPr>
        <w:t>★</w:t>
      </w:r>
      <w:r>
        <w:rPr>
          <w:rFonts w:hint="eastAsia" w:ascii="黑体" w:hAnsi="黑体" w:eastAsia="黑体" w:cs="黑体"/>
          <w:sz w:val="18"/>
          <w:szCs w:val="18"/>
        </w:rPr>
        <w:tab/>
      </w:r>
      <w:r>
        <w:rPr>
          <w:rFonts w:hint="eastAsia" w:ascii="黑体" w:hAnsi="黑体" w:eastAsia="黑体" w:cs="黑体"/>
          <w:sz w:val="18"/>
          <w:szCs w:val="18"/>
          <w:lang w:val="en-US" w:eastAsia="zh-CN"/>
        </w:rPr>
        <w:t>24、</w:t>
      </w:r>
      <w:r>
        <w:rPr>
          <w:rFonts w:hint="eastAsia" w:ascii="黑体" w:hAnsi="黑体" w:eastAsia="黑体" w:cs="黑体"/>
          <w:sz w:val="18"/>
          <w:szCs w:val="18"/>
        </w:rPr>
        <w:t>可用于人体组织的汽化、碳化、凝固和照射，以达到治疗的目的。</w:t>
      </w:r>
    </w:p>
    <w:p w14:paraId="1CBA9A46">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p>
    <w:p w14:paraId="2AC7B548">
      <w:pPr>
        <w:keepNext w:val="0"/>
        <w:keepLines w:val="0"/>
        <w:pageBreakBefore w:val="0"/>
        <w:kinsoku/>
        <w:wordWrap/>
        <w:overflowPunct/>
        <w:topLinePunct w:val="0"/>
        <w:autoSpaceDE/>
        <w:autoSpaceDN/>
        <w:bidi w:val="0"/>
        <w:adjustRightInd/>
        <w:snapToGrid/>
        <w:spacing w:line="360" w:lineRule="auto"/>
        <w:outlineLvl w:val="0"/>
        <w:rPr>
          <w:rFonts w:hint="eastAsia" w:ascii="黑体" w:hAnsi="黑体" w:eastAsia="黑体" w:cs="黑体"/>
          <w:b/>
          <w:bCs/>
          <w:sz w:val="18"/>
          <w:szCs w:val="18"/>
        </w:rPr>
      </w:pPr>
      <w:r>
        <w:rPr>
          <w:rFonts w:hint="eastAsia" w:ascii="黑体" w:hAnsi="黑体" w:eastAsia="黑体" w:cs="黑体"/>
          <w:b/>
          <w:bCs/>
          <w:sz w:val="18"/>
          <w:szCs w:val="18"/>
        </w:rPr>
        <w:t>十二、超声波冲洗机技术参数</w:t>
      </w:r>
      <w:r>
        <w:rPr>
          <w:rFonts w:hint="eastAsia" w:ascii="黑体" w:hAnsi="黑体" w:eastAsia="黑体" w:cs="黑体"/>
          <w:b/>
          <w:bCs/>
          <w:sz w:val="18"/>
          <w:szCs w:val="18"/>
        </w:rPr>
        <w:tab/>
      </w:r>
    </w:p>
    <w:p w14:paraId="40E3A548">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1.功能：可完成对超声波清洗机清洗完成后的医疗器械的漂洗、消毒、上油及煮沸功能，能和超声波清洗机共用不锈钢篮筐。</w:t>
      </w:r>
    </w:p>
    <w:p w14:paraId="303E74D7">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w:t>
      </w:r>
      <w:r>
        <w:rPr>
          <w:rFonts w:hint="eastAsia" w:ascii="黑体" w:hAnsi="黑体" w:eastAsia="黑体" w:cs="黑体"/>
          <w:sz w:val="18"/>
          <w:szCs w:val="18"/>
        </w:rPr>
        <w:tab/>
      </w:r>
      <w:r>
        <w:rPr>
          <w:rFonts w:hint="eastAsia" w:ascii="黑体" w:hAnsi="黑体" w:eastAsia="黑体" w:cs="黑体"/>
          <w:sz w:val="18"/>
          <w:szCs w:val="18"/>
        </w:rPr>
        <w:t>2.容量：≥80L</w:t>
      </w:r>
    </w:p>
    <w:p w14:paraId="6F20109B">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3.材质：槽体≥2.0mm厚，304以上不锈钢板材模具冲压成型，无焊接点</w:t>
      </w:r>
    </w:p>
    <w:p w14:paraId="7EE7F1DC">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4.清洗程序;漂洗、消毒、上油、煮沸，程序可自行编制；</w:t>
      </w:r>
    </w:p>
    <w:p w14:paraId="143DD860">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5.煮沸温度：≥80℃可调，调节范围≥10℃，</w:t>
      </w:r>
    </w:p>
    <w:p w14:paraId="5EB7ECDD">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6.消毒时间：5-90分钟可调节。</w:t>
      </w:r>
    </w:p>
    <w:p w14:paraId="3D67855E">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7.配备不锈钢网架/托架、清洗篮筐。</w:t>
      </w:r>
    </w:p>
    <w:p w14:paraId="31232DCB">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8.有进水和排水功能。</w:t>
      </w:r>
    </w:p>
    <w:p w14:paraId="1E29A024">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9.采用电加热方式，功率≥9.0kw。</w:t>
      </w:r>
    </w:p>
    <w:p w14:paraId="77675D0C">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10.安全保护;水位低保护功能，水位低时自动停止加热管加热；超时保护功能进水超过设定时间，停止进水，防止水流溢出；加热管干烧保护功能。</w:t>
      </w:r>
    </w:p>
    <w:p w14:paraId="01F471FF">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p>
    <w:p w14:paraId="22EA2789">
      <w:pPr>
        <w:keepNext w:val="0"/>
        <w:keepLines w:val="0"/>
        <w:pageBreakBefore w:val="0"/>
        <w:kinsoku/>
        <w:wordWrap/>
        <w:overflowPunct/>
        <w:topLinePunct w:val="0"/>
        <w:autoSpaceDE/>
        <w:autoSpaceDN/>
        <w:bidi w:val="0"/>
        <w:adjustRightInd/>
        <w:snapToGrid/>
        <w:spacing w:line="360" w:lineRule="auto"/>
        <w:outlineLvl w:val="0"/>
        <w:rPr>
          <w:rFonts w:hint="eastAsia" w:ascii="黑体" w:hAnsi="黑体" w:eastAsia="黑体" w:cs="黑体"/>
          <w:b/>
          <w:bCs/>
          <w:sz w:val="18"/>
          <w:szCs w:val="18"/>
        </w:rPr>
      </w:pPr>
      <w:r>
        <w:rPr>
          <w:rFonts w:hint="eastAsia" w:ascii="黑体" w:hAnsi="黑体" w:eastAsia="黑体" w:cs="黑体"/>
          <w:b/>
          <w:bCs/>
          <w:sz w:val="18"/>
          <w:szCs w:val="18"/>
        </w:rPr>
        <w:t>十三、超声清洗机技术参数</w:t>
      </w:r>
      <w:r>
        <w:rPr>
          <w:rFonts w:hint="eastAsia" w:ascii="黑体" w:hAnsi="黑体" w:eastAsia="黑体" w:cs="黑体"/>
          <w:b/>
          <w:bCs/>
          <w:sz w:val="18"/>
          <w:szCs w:val="18"/>
        </w:rPr>
        <w:tab/>
      </w:r>
    </w:p>
    <w:p w14:paraId="1C1061F9">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1. 用途要求；用于手术器械及器具的超声波清洗。</w:t>
      </w:r>
    </w:p>
    <w:p w14:paraId="0714ACCA">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w:t>
      </w:r>
      <w:r>
        <w:rPr>
          <w:rFonts w:hint="eastAsia" w:ascii="黑体" w:hAnsi="黑体" w:eastAsia="黑体" w:cs="黑体"/>
          <w:sz w:val="18"/>
          <w:szCs w:val="18"/>
        </w:rPr>
        <w:tab/>
      </w:r>
      <w:r>
        <w:rPr>
          <w:rFonts w:hint="eastAsia" w:ascii="黑体" w:hAnsi="黑体" w:eastAsia="黑体" w:cs="黑体"/>
          <w:sz w:val="18"/>
          <w:szCs w:val="18"/>
        </w:rPr>
        <w:t>2.容积：内槽容积≥</w:t>
      </w:r>
      <w:r>
        <w:rPr>
          <w:rFonts w:hint="eastAsia" w:ascii="黑体" w:hAnsi="黑体" w:eastAsia="黑体" w:cs="黑体"/>
          <w:sz w:val="18"/>
          <w:szCs w:val="18"/>
          <w:lang w:val="en-US" w:eastAsia="zh-CN"/>
        </w:rPr>
        <w:t>80</w:t>
      </w:r>
      <w:r>
        <w:rPr>
          <w:rFonts w:hint="eastAsia" w:ascii="黑体" w:hAnsi="黑体" w:eastAsia="黑体" w:cs="黑体"/>
          <w:sz w:val="18"/>
          <w:szCs w:val="18"/>
        </w:rPr>
        <w:t>L；</w:t>
      </w:r>
    </w:p>
    <w:p w14:paraId="2B04FB4F">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3.采用电加热方式，功率≥9.0kw；</w:t>
      </w:r>
    </w:p>
    <w:p w14:paraId="61342AB6">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4.电压：AC 380V；</w:t>
      </w:r>
    </w:p>
    <w:p w14:paraId="16885557">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5.材质要求；槽体≥2.0mm厚，304以上不锈钢板材模具冲压成型，无焊接点</w:t>
      </w:r>
    </w:p>
    <w:p w14:paraId="4EC8AC2D">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6.超声波功率：≥2000W±10%；</w:t>
      </w:r>
    </w:p>
    <w:p w14:paraId="42A71CA4">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7.超声波频率 ：30kHz-100kHz范围内多频转换功能</w:t>
      </w:r>
    </w:p>
    <w:p w14:paraId="43461396">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8.循环加热，溶液内部温 差＜2℃;；</w:t>
      </w:r>
    </w:p>
    <w:p w14:paraId="14F4F1CC">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9.安全保护；水位低保护功能：水位低时自动停止加热管加热和超声；超时保护功能：进水超过设定时间，停止进水，防止水流溢出；加热管干烧保护。</w:t>
      </w:r>
    </w:p>
    <w:p w14:paraId="2E49FBDB">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10.密封门配备硅橡胶胶条密封</w:t>
      </w:r>
    </w:p>
    <w:p w14:paraId="7B5587B7">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11.排水时间：≤4min</w:t>
      </w:r>
    </w:p>
    <w:p w14:paraId="78D8FE69">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12.配置；主机一台及配套不锈钢篮筐。</w:t>
      </w:r>
    </w:p>
    <w:p w14:paraId="727B5363">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p>
    <w:p w14:paraId="1A4F1BF1">
      <w:pPr>
        <w:keepNext w:val="0"/>
        <w:keepLines w:val="0"/>
        <w:pageBreakBefore w:val="0"/>
        <w:kinsoku/>
        <w:wordWrap/>
        <w:overflowPunct/>
        <w:topLinePunct w:val="0"/>
        <w:autoSpaceDE/>
        <w:autoSpaceDN/>
        <w:bidi w:val="0"/>
        <w:adjustRightInd/>
        <w:snapToGrid/>
        <w:spacing w:line="360" w:lineRule="auto"/>
        <w:outlineLvl w:val="0"/>
        <w:rPr>
          <w:rFonts w:hint="eastAsia" w:ascii="黑体" w:hAnsi="黑体" w:eastAsia="黑体" w:cs="黑体"/>
          <w:b/>
          <w:bCs/>
          <w:sz w:val="18"/>
          <w:szCs w:val="18"/>
        </w:rPr>
      </w:pPr>
      <w:r>
        <w:rPr>
          <w:rFonts w:hint="eastAsia" w:ascii="黑体" w:hAnsi="黑体" w:eastAsia="黑体" w:cs="黑体"/>
          <w:b/>
          <w:bCs/>
          <w:sz w:val="18"/>
          <w:szCs w:val="18"/>
        </w:rPr>
        <w:t>十四、中心置管专用超声技术参数</w:t>
      </w:r>
      <w:r>
        <w:rPr>
          <w:rFonts w:hint="eastAsia" w:ascii="黑体" w:hAnsi="黑体" w:eastAsia="黑体" w:cs="黑体"/>
          <w:b/>
          <w:bCs/>
          <w:sz w:val="18"/>
          <w:szCs w:val="18"/>
        </w:rPr>
        <w:tab/>
      </w:r>
    </w:p>
    <w:p w14:paraId="416E56A2">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1.系统主机：</w:t>
      </w:r>
    </w:p>
    <w:p w14:paraId="23AFDF44">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1.1 主机与显示器一体化；</w:t>
      </w:r>
    </w:p>
    <w:p w14:paraId="0051B69F">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1.2 彩色液晶触摸显示屏： ≥10 英寸，分辨率≥1920×1080，可调节角度；</w:t>
      </w:r>
    </w:p>
    <w:p w14:paraId="435434AB">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1.3 内置电池，续航时间： ≥2 小时；</w:t>
      </w:r>
    </w:p>
    <w:p w14:paraId="7B7B130A">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1.4 主机存储容量： ≥32GB；</w:t>
      </w:r>
    </w:p>
    <w:p w14:paraId="431FA893">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1.5 具备二维灰阶成像和分析单元；</w:t>
      </w:r>
    </w:p>
    <w:p w14:paraId="55F4CED2">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1.6 具备彩色多普勒成像和分析单元；</w:t>
      </w:r>
    </w:p>
    <w:p w14:paraId="2DACB06E">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1.7 具备频谱多普勒成像和分析单元（包括脉冲多普勒）；</w:t>
      </w:r>
    </w:p>
    <w:p w14:paraId="717DF79A">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1.8 具备组织谐波成像技术；</w:t>
      </w:r>
    </w:p>
    <w:p w14:paraId="5E8347B0">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1.9 具备复合成像技术；</w:t>
      </w:r>
    </w:p>
    <w:p w14:paraId="3501F5CA">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1.10 焦点数目、焦点位置可调节；</w:t>
      </w:r>
    </w:p>
    <w:p w14:paraId="17ADE0A9">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1.11 TGC： ≥8 段可调；</w:t>
      </w:r>
    </w:p>
    <w:p w14:paraId="22EA97E6">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2.探头：</w:t>
      </w:r>
    </w:p>
    <w:p w14:paraId="2AA40027">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w:t>
      </w:r>
      <w:r>
        <w:rPr>
          <w:rFonts w:hint="eastAsia" w:ascii="黑体" w:hAnsi="黑体" w:eastAsia="黑体" w:cs="黑体"/>
          <w:sz w:val="18"/>
          <w:szCs w:val="18"/>
        </w:rPr>
        <w:tab/>
      </w:r>
      <w:r>
        <w:rPr>
          <w:rFonts w:hint="eastAsia" w:ascii="黑体" w:hAnsi="黑体" w:eastAsia="黑体" w:cs="黑体"/>
          <w:sz w:val="18"/>
          <w:szCs w:val="18"/>
        </w:rPr>
        <w:t>2.1 配备 1 把线阵探头，具有穿刺导引功能；</w:t>
      </w:r>
    </w:p>
    <w:p w14:paraId="7F053E54">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2.2 线阵超声探头具备功能键；</w:t>
      </w:r>
    </w:p>
    <w:p w14:paraId="337113AC">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2.3 线阵探头频率：6.0MHz-11.0MHz；</w:t>
      </w:r>
    </w:p>
    <w:p w14:paraId="425D2E85">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2.4 线阵探头探头扫描深度覆盖：1.5cm-10cm；</w:t>
      </w:r>
    </w:p>
    <w:p w14:paraId="49267445">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3.软件功能：</w:t>
      </w:r>
    </w:p>
    <w:p w14:paraId="266D3A7F">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w:t>
      </w:r>
      <w:r>
        <w:rPr>
          <w:rFonts w:hint="eastAsia" w:ascii="黑体" w:hAnsi="黑体" w:eastAsia="黑体" w:cs="黑体"/>
          <w:sz w:val="18"/>
          <w:szCs w:val="18"/>
        </w:rPr>
        <w:tab/>
      </w:r>
      <w:r>
        <w:rPr>
          <w:rFonts w:hint="eastAsia" w:ascii="黑体" w:hAnsi="黑体" w:eastAsia="黑体" w:cs="黑体"/>
          <w:sz w:val="18"/>
          <w:szCs w:val="18"/>
        </w:rPr>
        <w:t>3.1 具备导管尖端心腔内可视化电图定位系统；</w:t>
      </w:r>
    </w:p>
    <w:p w14:paraId="1DCEF10B">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3.2 具备 PW 频谱一键包络功能；</w:t>
      </w:r>
    </w:p>
    <w:p w14:paraId="6A4402C3">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3.3 具备血管预设值选择界面,且可针对不同的血管部位预设超声参数；</w:t>
      </w:r>
    </w:p>
    <w:p w14:paraId="617AD5AE">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3.4 具备导管占比测量软件，可显示导管与血管的占比（直径百分比和面积百分比）；</w:t>
      </w:r>
    </w:p>
    <w:p w14:paraId="140FECCD">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3.5 显示定位标尺方式，至少包括网格线和中心线方式，且标尺刻度可明确显示出目标血 管深度；</w:t>
      </w:r>
    </w:p>
    <w:p w14:paraId="657D1389">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3.6 病人信息界面可录入置管信息；</w:t>
      </w:r>
    </w:p>
    <w:p w14:paraId="685D2889">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3.7 操作时可根据工作需要对显示图像进行冻结、图片存储、电影存储、打印；</w:t>
      </w:r>
    </w:p>
    <w:p w14:paraId="5E05F6AC">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3.8 可通过磁场跟踪和患者心电图来实时确定中心静脉导管尖端位置，预期用于引导和定 位经成人患者外周血管插入的中心静脉导管；</w:t>
      </w:r>
    </w:p>
    <w:p w14:paraId="467DC642">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w:t>
      </w:r>
      <w:r>
        <w:rPr>
          <w:rFonts w:hint="eastAsia" w:ascii="黑体" w:hAnsi="黑体" w:eastAsia="黑体" w:cs="黑体"/>
          <w:sz w:val="18"/>
          <w:szCs w:val="18"/>
        </w:rPr>
        <w:tab/>
      </w:r>
      <w:r>
        <w:rPr>
          <w:rFonts w:hint="eastAsia" w:ascii="黑体" w:hAnsi="黑体" w:eastAsia="黑体" w:cs="黑体"/>
          <w:sz w:val="18"/>
          <w:szCs w:val="18"/>
        </w:rPr>
        <w:t>3.9 中心静脉导管尖端定位，可调节心电波形大小和位置，具备导管尖端定位系统，p 波 高亮，凸显特征波形，有变色提示，辅助判断尖端位置；</w:t>
      </w:r>
    </w:p>
    <w:p w14:paraId="7A7AB49D">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4.配置台车 1 辆；</w:t>
      </w:r>
    </w:p>
    <w:p w14:paraId="68EB47C6">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p>
    <w:p w14:paraId="2FCC1372">
      <w:pPr>
        <w:keepNext w:val="0"/>
        <w:keepLines w:val="0"/>
        <w:pageBreakBefore w:val="0"/>
        <w:kinsoku/>
        <w:wordWrap/>
        <w:overflowPunct/>
        <w:topLinePunct w:val="0"/>
        <w:autoSpaceDE/>
        <w:autoSpaceDN/>
        <w:bidi w:val="0"/>
        <w:adjustRightInd/>
        <w:snapToGrid/>
        <w:spacing w:line="360" w:lineRule="auto"/>
        <w:outlineLvl w:val="0"/>
        <w:rPr>
          <w:rFonts w:hint="eastAsia" w:ascii="黑体" w:hAnsi="黑体" w:eastAsia="黑体" w:cs="黑体"/>
          <w:b/>
          <w:bCs/>
          <w:sz w:val="18"/>
          <w:szCs w:val="18"/>
        </w:rPr>
      </w:pPr>
      <w:r>
        <w:rPr>
          <w:rFonts w:hint="eastAsia" w:ascii="黑体" w:hAnsi="黑体" w:eastAsia="黑体" w:cs="黑体"/>
          <w:b/>
          <w:bCs/>
          <w:sz w:val="18"/>
          <w:szCs w:val="18"/>
        </w:rPr>
        <w:t>十五、纤维支气管镜技术参数</w:t>
      </w:r>
      <w:r>
        <w:rPr>
          <w:rFonts w:hint="eastAsia" w:ascii="黑体" w:hAnsi="黑体" w:eastAsia="黑体" w:cs="黑体"/>
          <w:b/>
          <w:bCs/>
          <w:sz w:val="18"/>
          <w:szCs w:val="18"/>
        </w:rPr>
        <w:tab/>
      </w:r>
    </w:p>
    <w:p w14:paraId="2F795F4D">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w:t>
      </w:r>
      <w:r>
        <w:rPr>
          <w:rFonts w:hint="eastAsia" w:ascii="黑体" w:hAnsi="黑体" w:eastAsia="黑体" w:cs="黑体"/>
          <w:sz w:val="18"/>
          <w:szCs w:val="18"/>
        </w:rPr>
        <w:tab/>
      </w:r>
      <w:r>
        <w:rPr>
          <w:rFonts w:hint="eastAsia" w:ascii="黑体" w:hAnsi="黑体" w:eastAsia="黑体" w:cs="黑体"/>
          <w:sz w:val="18"/>
          <w:szCs w:val="18"/>
        </w:rPr>
        <w:t>1</w:t>
      </w:r>
      <w:r>
        <w:rPr>
          <w:rFonts w:hint="eastAsia" w:ascii="黑体" w:hAnsi="黑体" w:eastAsia="黑体" w:cs="黑体"/>
          <w:sz w:val="18"/>
          <w:szCs w:val="18"/>
          <w:lang w:val="en-US" w:eastAsia="zh-CN"/>
        </w:rPr>
        <w:t>.</w:t>
      </w:r>
      <w:r>
        <w:rPr>
          <w:rFonts w:hint="eastAsia" w:ascii="黑体" w:hAnsi="黑体" w:eastAsia="黑体" w:cs="黑体"/>
          <w:sz w:val="18"/>
          <w:szCs w:val="18"/>
        </w:rPr>
        <w:t>数字电子微成像技术，工作软管不含导像、导光纤维，视角≥120°。</w:t>
      </w:r>
    </w:p>
    <w:p w14:paraId="0B32B913">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w:t>
      </w:r>
      <w:r>
        <w:rPr>
          <w:rFonts w:hint="eastAsia" w:ascii="黑体" w:hAnsi="黑体" w:eastAsia="黑体" w:cs="黑体"/>
          <w:sz w:val="18"/>
          <w:szCs w:val="18"/>
        </w:rPr>
        <w:tab/>
      </w:r>
      <w:r>
        <w:rPr>
          <w:rFonts w:hint="eastAsia" w:ascii="黑体" w:hAnsi="黑体" w:eastAsia="黑体" w:cs="黑体"/>
          <w:sz w:val="18"/>
          <w:szCs w:val="18"/>
        </w:rPr>
        <w:t>2</w:t>
      </w:r>
      <w:r>
        <w:rPr>
          <w:rFonts w:hint="eastAsia" w:ascii="黑体" w:hAnsi="黑体" w:eastAsia="黑体" w:cs="黑体"/>
          <w:sz w:val="18"/>
          <w:szCs w:val="18"/>
          <w:lang w:val="en-US" w:eastAsia="zh-CN"/>
        </w:rPr>
        <w:t>.</w:t>
      </w:r>
      <w:r>
        <w:rPr>
          <w:rFonts w:hint="eastAsia" w:ascii="黑体" w:hAnsi="黑体" w:eastAsia="黑体" w:cs="黑体"/>
          <w:sz w:val="18"/>
          <w:szCs w:val="18"/>
        </w:rPr>
        <w:t>插入部外径≤5.2mm,  内置吸引通道直径≥2.6mm,长度≥600mm。</w:t>
      </w:r>
    </w:p>
    <w:p w14:paraId="36844398">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w:t>
      </w:r>
      <w:r>
        <w:rPr>
          <w:rFonts w:hint="eastAsia" w:ascii="黑体" w:hAnsi="黑体" w:eastAsia="黑体" w:cs="黑体"/>
          <w:sz w:val="18"/>
          <w:szCs w:val="18"/>
        </w:rPr>
        <w:tab/>
      </w:r>
      <w:r>
        <w:rPr>
          <w:rFonts w:hint="eastAsia" w:ascii="黑体" w:hAnsi="黑体" w:eastAsia="黑体" w:cs="黑体"/>
          <w:sz w:val="18"/>
          <w:szCs w:val="18"/>
        </w:rPr>
        <w:t>3</w:t>
      </w:r>
      <w:r>
        <w:rPr>
          <w:rFonts w:hint="eastAsia" w:ascii="黑体" w:hAnsi="黑体" w:eastAsia="黑体" w:cs="黑体"/>
          <w:sz w:val="18"/>
          <w:szCs w:val="18"/>
          <w:lang w:val="en-US" w:eastAsia="zh-CN"/>
        </w:rPr>
        <w:t>.</w:t>
      </w:r>
      <w:r>
        <w:rPr>
          <w:rFonts w:hint="eastAsia" w:ascii="黑体" w:hAnsi="黑体" w:eastAsia="黑体" w:cs="黑体"/>
          <w:sz w:val="18"/>
          <w:szCs w:val="18"/>
        </w:rPr>
        <w:t>软管前端可弯曲角度，向上≥160°,向下≥130°。插入部配备旋转功能，左右各旋转120°。</w:t>
      </w:r>
    </w:p>
    <w:p w14:paraId="348F106E">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4</w:t>
      </w:r>
      <w:r>
        <w:rPr>
          <w:rFonts w:hint="eastAsia" w:ascii="黑体" w:hAnsi="黑体" w:eastAsia="黑体" w:cs="黑体"/>
          <w:sz w:val="18"/>
          <w:szCs w:val="18"/>
          <w:lang w:val="en-US" w:eastAsia="zh-CN"/>
        </w:rPr>
        <w:t>.</w:t>
      </w:r>
      <w:r>
        <w:rPr>
          <w:rFonts w:hint="eastAsia" w:ascii="黑体" w:hAnsi="黑体" w:eastAsia="黑体" w:cs="黑体"/>
          <w:sz w:val="18"/>
          <w:szCs w:val="18"/>
        </w:rPr>
        <w:t>照明采用LED灯，亮度≥1000LUX,多档亮度可调节。</w:t>
      </w:r>
    </w:p>
    <w:p w14:paraId="748A3215">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5</w:t>
      </w:r>
      <w:r>
        <w:rPr>
          <w:rFonts w:hint="eastAsia" w:ascii="黑体" w:hAnsi="黑体" w:eastAsia="黑体" w:cs="黑体"/>
          <w:sz w:val="18"/>
          <w:szCs w:val="18"/>
          <w:lang w:val="en-US" w:eastAsia="zh-CN"/>
        </w:rPr>
        <w:t>.</w:t>
      </w:r>
      <w:r>
        <w:rPr>
          <w:rFonts w:hint="eastAsia" w:ascii="黑体" w:hAnsi="黑体" w:eastAsia="黑体" w:cs="黑体"/>
          <w:sz w:val="18"/>
          <w:szCs w:val="18"/>
        </w:rPr>
        <w:t>成像距离范围覆盖3~50mm。</w:t>
      </w:r>
    </w:p>
    <w:p w14:paraId="2C294A0E">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6</w:t>
      </w:r>
      <w:r>
        <w:rPr>
          <w:rFonts w:hint="eastAsia" w:ascii="黑体" w:hAnsi="黑体" w:eastAsia="黑体" w:cs="黑体"/>
          <w:sz w:val="18"/>
          <w:szCs w:val="18"/>
          <w:lang w:val="en-US" w:eastAsia="zh-CN"/>
        </w:rPr>
        <w:t>.</w:t>
      </w:r>
      <w:r>
        <w:rPr>
          <w:rFonts w:hint="eastAsia" w:ascii="黑体" w:hAnsi="黑体" w:eastAsia="黑体" w:cs="黑体"/>
          <w:sz w:val="18"/>
          <w:szCs w:val="18"/>
        </w:rPr>
        <w:t>可整体浸泡消毒。</w:t>
      </w:r>
    </w:p>
    <w:p w14:paraId="0CBC2D56">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7</w:t>
      </w:r>
      <w:r>
        <w:rPr>
          <w:rFonts w:hint="eastAsia" w:ascii="黑体" w:hAnsi="黑体" w:eastAsia="黑体" w:cs="黑体"/>
          <w:sz w:val="18"/>
          <w:szCs w:val="18"/>
          <w:lang w:val="en-US" w:eastAsia="zh-CN"/>
        </w:rPr>
        <w:t>.</w:t>
      </w:r>
      <w:r>
        <w:rPr>
          <w:rFonts w:hint="eastAsia" w:ascii="黑体" w:hAnsi="黑体" w:eastAsia="黑体" w:cs="黑体"/>
          <w:sz w:val="18"/>
          <w:szCs w:val="18"/>
        </w:rPr>
        <w:t>具备图像冻结功能。</w:t>
      </w:r>
    </w:p>
    <w:p w14:paraId="3553B2F4">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8</w:t>
      </w:r>
      <w:r>
        <w:rPr>
          <w:rFonts w:hint="eastAsia" w:ascii="黑体" w:hAnsi="黑体" w:eastAsia="黑体" w:cs="黑体"/>
          <w:sz w:val="18"/>
          <w:szCs w:val="18"/>
          <w:lang w:val="en-US" w:eastAsia="zh-CN"/>
        </w:rPr>
        <w:t>.</w:t>
      </w:r>
      <w:r>
        <w:rPr>
          <w:rFonts w:hint="eastAsia" w:ascii="黑体" w:hAnsi="黑体" w:eastAsia="黑体" w:cs="黑体"/>
          <w:sz w:val="18"/>
          <w:szCs w:val="18"/>
        </w:rPr>
        <w:t>一键拍照、录像功能，支持在录像过程中拍照，输出图文报告。</w:t>
      </w:r>
    </w:p>
    <w:p w14:paraId="7B899766">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9</w:t>
      </w:r>
      <w:r>
        <w:rPr>
          <w:rFonts w:hint="eastAsia" w:ascii="黑体" w:hAnsi="黑体" w:eastAsia="黑体" w:cs="黑体"/>
          <w:sz w:val="18"/>
          <w:szCs w:val="18"/>
          <w:lang w:val="en-US" w:eastAsia="zh-CN"/>
        </w:rPr>
        <w:t>.</w:t>
      </w:r>
      <w:r>
        <w:rPr>
          <w:rFonts w:hint="eastAsia" w:ascii="黑体" w:hAnsi="黑体" w:eastAsia="黑体" w:cs="黑体"/>
          <w:sz w:val="18"/>
          <w:szCs w:val="18"/>
        </w:rPr>
        <w:t>与显示器之间的连接支持热插拔。</w:t>
      </w:r>
    </w:p>
    <w:p w14:paraId="452B8D85">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w:t>
      </w:r>
      <w:r>
        <w:rPr>
          <w:rFonts w:hint="eastAsia" w:ascii="黑体" w:hAnsi="黑体" w:eastAsia="黑体" w:cs="黑体"/>
          <w:sz w:val="18"/>
          <w:szCs w:val="18"/>
        </w:rPr>
        <w:tab/>
      </w:r>
      <w:r>
        <w:rPr>
          <w:rFonts w:hint="eastAsia" w:ascii="黑体" w:hAnsi="黑体" w:eastAsia="黑体" w:cs="黑体"/>
          <w:sz w:val="18"/>
          <w:szCs w:val="18"/>
        </w:rPr>
        <w:t>10</w:t>
      </w:r>
      <w:r>
        <w:rPr>
          <w:rFonts w:hint="eastAsia" w:ascii="黑体" w:hAnsi="黑体" w:eastAsia="黑体" w:cs="黑体"/>
          <w:sz w:val="18"/>
          <w:szCs w:val="18"/>
          <w:lang w:val="en-US" w:eastAsia="zh-CN"/>
        </w:rPr>
        <w:t>.</w:t>
      </w:r>
      <w:r>
        <w:rPr>
          <w:rFonts w:hint="eastAsia" w:ascii="黑体" w:hAnsi="黑体" w:eastAsia="黑体" w:cs="黑体"/>
          <w:sz w:val="18"/>
          <w:szCs w:val="18"/>
        </w:rPr>
        <w:t>配备吸引接口，可匹配多品牌内镜配件。</w:t>
      </w:r>
    </w:p>
    <w:p w14:paraId="172D3D3B">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11</w:t>
      </w:r>
      <w:r>
        <w:rPr>
          <w:rFonts w:hint="eastAsia" w:ascii="黑体" w:hAnsi="黑体" w:eastAsia="黑体" w:cs="黑体"/>
          <w:sz w:val="18"/>
          <w:szCs w:val="18"/>
          <w:lang w:val="en-US" w:eastAsia="zh-CN"/>
        </w:rPr>
        <w:t>.</w:t>
      </w:r>
      <w:r>
        <w:rPr>
          <w:rFonts w:hint="eastAsia" w:ascii="黑体" w:hAnsi="黑体" w:eastAsia="黑体" w:cs="黑体"/>
          <w:sz w:val="18"/>
          <w:szCs w:val="18"/>
        </w:rPr>
        <w:t>支持无线及有线传输功能。</w:t>
      </w:r>
    </w:p>
    <w:p w14:paraId="764F3363">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12</w:t>
      </w:r>
      <w:r>
        <w:rPr>
          <w:rFonts w:hint="eastAsia" w:ascii="黑体" w:hAnsi="黑体" w:eastAsia="黑体" w:cs="黑体"/>
          <w:sz w:val="18"/>
          <w:szCs w:val="18"/>
          <w:lang w:val="en-US" w:eastAsia="zh-CN"/>
        </w:rPr>
        <w:t>.</w:t>
      </w:r>
      <w:r>
        <w:rPr>
          <w:rFonts w:hint="eastAsia" w:ascii="黑体" w:hAnsi="黑体" w:eastAsia="黑体" w:cs="黑体"/>
          <w:sz w:val="18"/>
          <w:szCs w:val="18"/>
        </w:rPr>
        <w:t>手持显示屏≥3.5英寸显示屏，工作时间≥240分钟，能上下0°~130°转动，左右0°~240°转动。</w:t>
      </w:r>
    </w:p>
    <w:p w14:paraId="316063EA">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p>
    <w:p w14:paraId="25EC196C">
      <w:pPr>
        <w:keepNext w:val="0"/>
        <w:keepLines w:val="0"/>
        <w:pageBreakBefore w:val="0"/>
        <w:kinsoku/>
        <w:wordWrap/>
        <w:overflowPunct/>
        <w:topLinePunct w:val="0"/>
        <w:autoSpaceDE/>
        <w:autoSpaceDN/>
        <w:bidi w:val="0"/>
        <w:adjustRightInd/>
        <w:snapToGrid/>
        <w:spacing w:line="360" w:lineRule="auto"/>
        <w:outlineLvl w:val="0"/>
        <w:rPr>
          <w:rFonts w:hint="eastAsia" w:ascii="黑体" w:hAnsi="黑体" w:eastAsia="黑体" w:cs="黑体"/>
          <w:b/>
          <w:bCs/>
          <w:sz w:val="18"/>
          <w:szCs w:val="18"/>
          <w:lang w:val="en-US" w:eastAsia="zh-CN"/>
        </w:rPr>
      </w:pPr>
      <w:r>
        <w:rPr>
          <w:rFonts w:hint="eastAsia" w:ascii="黑体" w:hAnsi="黑体" w:eastAsia="黑体" w:cs="黑体"/>
          <w:b/>
          <w:bCs/>
          <w:sz w:val="18"/>
          <w:szCs w:val="18"/>
        </w:rPr>
        <w:t>十六、血流动力学分析仪技术参数</w:t>
      </w:r>
      <w:r>
        <w:rPr>
          <w:rFonts w:hint="eastAsia" w:ascii="黑体" w:hAnsi="黑体" w:eastAsia="黑体" w:cs="黑体"/>
          <w:b/>
          <w:bCs/>
          <w:sz w:val="18"/>
          <w:szCs w:val="18"/>
        </w:rPr>
        <w:tab/>
      </w:r>
      <w:r>
        <w:rPr>
          <w:rFonts w:hint="eastAsia" w:ascii="黑体" w:hAnsi="黑体" w:eastAsia="黑体" w:cs="黑体"/>
          <w:b/>
          <w:bCs/>
          <w:sz w:val="18"/>
          <w:szCs w:val="18"/>
          <w:lang w:val="en-US" w:eastAsia="zh-CN"/>
        </w:rPr>
        <w:t xml:space="preserve"> ☆ 核心产品</w:t>
      </w:r>
    </w:p>
    <w:p w14:paraId="4983E5E7">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一、设备用途：</w:t>
      </w:r>
    </w:p>
    <w:p w14:paraId="364F984E">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1、用于各类危重患者及围术期的血流动力学监测。</w:t>
      </w:r>
    </w:p>
    <w:p w14:paraId="2A3AA635">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2、应用范围：对患者的血流动力学进行监测，适用于特殊患者如：体重≥1kg以上的新生儿及儿童、主动脉内球囊反搏泵治疗的患者等。</w:t>
      </w:r>
    </w:p>
    <w:p w14:paraId="46A3FF53">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二、技术参数</w:t>
      </w:r>
    </w:p>
    <w:p w14:paraId="7380D274">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1、基本要求：</w:t>
      </w:r>
    </w:p>
    <w:p w14:paraId="0CE93312">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1.1通过微创监测模式实现实时连续血流动力学监测。</w:t>
      </w:r>
    </w:p>
    <w:p w14:paraId="3A092086">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1.2采用脉搏能量分析法进行计算，通过对连续动脉压进行计算，获得实时连续血流动力学参数。</w:t>
      </w:r>
    </w:p>
    <w:p w14:paraId="39B25E9C">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1.3微创监测，通过三通数据线获取有创动脉压力传感器获取动脉压力数据进行分析；</w:t>
      </w:r>
    </w:p>
    <w:p w14:paraId="703E7FA8">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1.4数据显示频率为逐搏测量（每次心跳均有一组数据）。</w:t>
      </w:r>
    </w:p>
    <w:p w14:paraId="4E7BA978">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w:t>
      </w:r>
      <w:r>
        <w:rPr>
          <w:rFonts w:hint="eastAsia" w:ascii="黑体" w:hAnsi="黑体" w:eastAsia="黑体" w:cs="黑体"/>
          <w:sz w:val="18"/>
          <w:szCs w:val="18"/>
        </w:rPr>
        <w:tab/>
      </w:r>
      <w:r>
        <w:rPr>
          <w:rFonts w:hint="eastAsia" w:ascii="黑体" w:hAnsi="黑体" w:eastAsia="黑体" w:cs="黑体"/>
          <w:sz w:val="18"/>
          <w:szCs w:val="18"/>
        </w:rPr>
        <w:t>1.5无专属耗材。</w:t>
      </w:r>
    </w:p>
    <w:p w14:paraId="7CF3A439">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1.6在显示界面具有SV、MAP、HP、SVR、CO变化率窗口，在液体容量试验之后，直接显示结果。</w:t>
      </w:r>
    </w:p>
    <w:p w14:paraId="20660A92">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1.7在显示界面上可同时显示≥4个趋势图及目标框图、条形图界面，可标注参数基线及自定义范围。</w:t>
      </w:r>
    </w:p>
    <w:p w14:paraId="1DB31757">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w:t>
      </w:r>
      <w:r>
        <w:rPr>
          <w:rFonts w:hint="eastAsia" w:ascii="黑体" w:hAnsi="黑体" w:eastAsia="黑体" w:cs="黑体"/>
          <w:sz w:val="18"/>
          <w:szCs w:val="18"/>
        </w:rPr>
        <w:tab/>
      </w:r>
      <w:r>
        <w:rPr>
          <w:rFonts w:hint="eastAsia" w:ascii="黑体" w:hAnsi="黑体" w:eastAsia="黑体" w:cs="黑体"/>
          <w:sz w:val="18"/>
          <w:szCs w:val="18"/>
        </w:rPr>
        <w:t>1.8具有内置容量负荷试验流程临床指导方案≥3种，例如液体冲击试验、被动抬腿试验、肺复张试验、呼气末闭塞试验、潮气量冲击试验等。</w:t>
      </w:r>
    </w:p>
    <w:p w14:paraId="185DAE3A">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1.9具备一键截屏功能。</w:t>
      </w:r>
    </w:p>
    <w:p w14:paraId="3AD8026D">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1.10数据图显示，可回顾患者所有瞬时数据值。</w:t>
      </w:r>
    </w:p>
    <w:p w14:paraId="3BDDC554">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1.11可进行日间/夜间模式切换。</w:t>
      </w:r>
    </w:p>
    <w:p w14:paraId="3C793DD4">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1.12读取软件实时还原监测数据、波形图及操作情况；可通过USB串口导出Excel数据文件。</w:t>
      </w:r>
    </w:p>
    <w:p w14:paraId="652D28F1">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1.13可提供数据存储（≥16G），方便回顾查阅。</w:t>
      </w:r>
    </w:p>
    <w:p w14:paraId="1026889B">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1.14具备可自拟、可关闭的临床参数报警系统，具备设备自检报警系统。</w:t>
      </w:r>
    </w:p>
    <w:p w14:paraId="418D6F66">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1.15显示屏尺寸≥17寸，全触屏操作，支持分屏，支持HDMI，支持投影。</w:t>
      </w:r>
    </w:p>
    <w:p w14:paraId="304ECF8D">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1.16内置电池标准续航至少≥6小时。</w:t>
      </w:r>
    </w:p>
    <w:p w14:paraId="7E3CC7AA">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1.17支持TCP/IP、HL7通讯协议，可与医院信息化系统链接。</w:t>
      </w:r>
    </w:p>
    <w:p w14:paraId="020EE7BE">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2、参数要求</w:t>
      </w:r>
    </w:p>
    <w:p w14:paraId="6F2E3B0C">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2.1基础参数：平均动脉压（MAP）、收缩压（Sys）、舒张压（Dia）、心率（HR）、心率变异度（HRV）。</w:t>
      </w:r>
    </w:p>
    <w:p w14:paraId="0DD2B70B">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2.2心功能参数：心输出量（CO）、心输出量指数（CI）、每搏输出量（SV）、每搏输出量指数（SVI）、外周血管阻力（SVR）、外周血管阻力指数（SVRI）。</w:t>
      </w:r>
    </w:p>
    <w:p w14:paraId="3F8103DF">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w:t>
      </w:r>
      <w:r>
        <w:rPr>
          <w:rFonts w:hint="eastAsia" w:ascii="黑体" w:hAnsi="黑体" w:eastAsia="黑体" w:cs="黑体"/>
          <w:sz w:val="18"/>
          <w:szCs w:val="18"/>
        </w:rPr>
        <w:tab/>
      </w:r>
      <w:r>
        <w:rPr>
          <w:rFonts w:hint="eastAsia" w:ascii="黑体" w:hAnsi="黑体" w:eastAsia="黑体" w:cs="黑体"/>
          <w:sz w:val="18"/>
          <w:szCs w:val="18"/>
        </w:rPr>
        <w:t>2.3容量应答参数：脉压变异度（PPV）、毎搏输出量变异度（SVV）、每搏量增加率（△SV）、心输出量增加率（△CO）、平均动脉压增加率（△MAP）、心率增加率（△HR）、外周阻力增加率（△SVR）。</w:t>
      </w:r>
    </w:p>
    <w:p w14:paraId="0E7A9390">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w:t>
      </w:r>
      <w:r>
        <w:rPr>
          <w:rFonts w:hint="eastAsia" w:ascii="黑体" w:hAnsi="黑体" w:eastAsia="黑体" w:cs="黑体"/>
          <w:sz w:val="18"/>
          <w:szCs w:val="18"/>
        </w:rPr>
        <w:tab/>
      </w:r>
      <w:r>
        <w:rPr>
          <w:rFonts w:hint="eastAsia" w:ascii="黑体" w:hAnsi="黑体" w:eastAsia="黑体" w:cs="黑体"/>
          <w:sz w:val="18"/>
          <w:szCs w:val="18"/>
        </w:rPr>
        <w:t>2.4氧代谢参数：氧供量（DO2）、氧供量指数（DO2I）、氧耗量（VO2）、氧耗量指数（VO2I）。</w:t>
      </w:r>
    </w:p>
    <w:p w14:paraId="649C5B0D">
      <w:pPr>
        <w:rPr>
          <w:rFonts w:hint="eastAsia" w:ascii="黑体" w:hAnsi="黑体" w:eastAsia="黑体" w:cs="黑体"/>
          <w:b/>
          <w:bCs/>
          <w:sz w:val="18"/>
          <w:szCs w:val="18"/>
        </w:rPr>
      </w:pPr>
    </w:p>
    <w:p w14:paraId="54D4C684">
      <w:pPr>
        <w:outlineLvl w:val="0"/>
        <w:rPr>
          <w:rFonts w:hint="eastAsia" w:ascii="黑体" w:hAnsi="黑体" w:eastAsia="黑体" w:cs="黑体"/>
          <w:sz w:val="18"/>
          <w:szCs w:val="18"/>
        </w:rPr>
      </w:pPr>
      <w:r>
        <w:rPr>
          <w:rFonts w:hint="eastAsia" w:ascii="黑体" w:hAnsi="黑体" w:eastAsia="黑体" w:cs="黑体"/>
          <w:b/>
          <w:bCs/>
          <w:sz w:val="18"/>
          <w:szCs w:val="18"/>
        </w:rPr>
        <w:t>十七、四通道微量注射泵技术参数</w:t>
      </w:r>
      <w:r>
        <w:rPr>
          <w:rFonts w:hint="eastAsia" w:ascii="黑体" w:hAnsi="黑体" w:eastAsia="黑体" w:cs="黑体"/>
          <w:b/>
          <w:bCs/>
          <w:sz w:val="18"/>
          <w:szCs w:val="18"/>
        </w:rPr>
        <w:tab/>
      </w:r>
      <w:r>
        <w:rPr>
          <w:rFonts w:hint="eastAsia" w:ascii="黑体" w:hAnsi="黑体" w:eastAsia="黑体" w:cs="黑体"/>
          <w:sz w:val="18"/>
          <w:szCs w:val="18"/>
        </w:rPr>
        <w:tab/>
      </w:r>
    </w:p>
    <w:p w14:paraId="69C775B6">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1.注射器规格：可自动识别5mL、10mL、20mL、30mL、50mL的注射器。</w:t>
      </w:r>
    </w:p>
    <w:p w14:paraId="32F0F7E0">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2.流速范围：0.01-2000ml/h,最小步进0.01ml/h。</w:t>
      </w:r>
    </w:p>
    <w:p w14:paraId="7F52F66C">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3.注射精度：≤±2%。</w:t>
      </w:r>
    </w:p>
    <w:p w14:paraId="1FCE6967">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4.预置量范围：0.01ml～9999ml，＜1000ml步进≤0.1ml，＞1000ml步进≤1ml。</w:t>
      </w:r>
    </w:p>
    <w:p w14:paraId="0C3E9A88">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5.快速输注：0.01-2000ml/h，最小步进为0.01ml/h。</w:t>
      </w:r>
    </w:p>
    <w:p w14:paraId="55D22CE2">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6.报警功能：具备注射完成报警、电池欠压报警、阻塞报警、接近注射完成报警、注射器脱落报警功能。</w:t>
      </w:r>
    </w:p>
    <w:p w14:paraId="5B491737">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7.自检功能：开机时自动检测关键部件，存在异常时报警或提示用户；</w:t>
      </w:r>
    </w:p>
    <w:p w14:paraId="3866BB35">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8.交直流自动切换：当外接交流断电时可以自动切换到内部电池；</w:t>
      </w:r>
    </w:p>
    <w:p w14:paraId="7E4EEA33">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9.内置电池工作时间：5ml/h注射流速，电池工作时间≥5小时。</w:t>
      </w:r>
    </w:p>
    <w:p w14:paraId="2D0356BE">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10.防异物及进液等级≥IP33。</w:t>
      </w:r>
    </w:p>
    <w:p w14:paraId="30371F44">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w:t>
      </w:r>
      <w:r>
        <w:rPr>
          <w:rFonts w:hint="eastAsia" w:ascii="黑体" w:hAnsi="黑体" w:eastAsia="黑体" w:cs="黑体"/>
          <w:sz w:val="18"/>
          <w:szCs w:val="18"/>
        </w:rPr>
        <w:tab/>
      </w:r>
      <w:r>
        <w:rPr>
          <w:rFonts w:hint="eastAsia" w:ascii="黑体" w:hAnsi="黑体" w:eastAsia="黑体" w:cs="黑体"/>
          <w:sz w:val="18"/>
          <w:szCs w:val="18"/>
        </w:rPr>
        <w:t>11.支持镇痛药、化疗药、胰岛素输注。</w:t>
      </w:r>
    </w:p>
    <w:p w14:paraId="62F6158F">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w:t>
      </w:r>
      <w:r>
        <w:rPr>
          <w:rFonts w:hint="eastAsia" w:ascii="黑体" w:hAnsi="黑体" w:eastAsia="黑体" w:cs="黑体"/>
          <w:sz w:val="18"/>
          <w:szCs w:val="18"/>
        </w:rPr>
        <w:tab/>
      </w:r>
      <w:r>
        <w:rPr>
          <w:rFonts w:hint="eastAsia" w:ascii="黑体" w:hAnsi="黑体" w:eastAsia="黑体" w:cs="黑体"/>
          <w:sz w:val="18"/>
          <w:szCs w:val="18"/>
          <w:lang w:val="en-US" w:eastAsia="zh-CN"/>
        </w:rPr>
        <w:t>12.</w:t>
      </w:r>
      <w:r>
        <w:rPr>
          <w:rFonts w:hint="eastAsia" w:ascii="黑体" w:hAnsi="黑体" w:eastAsia="黑体" w:cs="黑体"/>
          <w:sz w:val="18"/>
          <w:szCs w:val="18"/>
        </w:rPr>
        <w:t>可同时进行4个通道药物精准注射。</w:t>
      </w:r>
    </w:p>
    <w:p w14:paraId="72D57E07">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p>
    <w:p w14:paraId="3E6F2A9A">
      <w:pPr>
        <w:keepNext w:val="0"/>
        <w:keepLines w:val="0"/>
        <w:pageBreakBefore w:val="0"/>
        <w:kinsoku/>
        <w:wordWrap/>
        <w:overflowPunct/>
        <w:topLinePunct w:val="0"/>
        <w:autoSpaceDE/>
        <w:autoSpaceDN/>
        <w:bidi w:val="0"/>
        <w:adjustRightInd/>
        <w:snapToGrid/>
        <w:spacing w:line="360" w:lineRule="auto"/>
        <w:outlineLvl w:val="0"/>
        <w:rPr>
          <w:rFonts w:hint="eastAsia" w:ascii="黑体" w:hAnsi="黑体" w:eastAsia="黑体" w:cs="黑体"/>
          <w:b/>
          <w:bCs/>
          <w:sz w:val="18"/>
          <w:szCs w:val="18"/>
        </w:rPr>
      </w:pPr>
      <w:r>
        <w:rPr>
          <w:rFonts w:hint="eastAsia" w:ascii="黑体" w:hAnsi="黑体" w:eastAsia="黑体" w:cs="黑体"/>
          <w:b/>
          <w:bCs/>
          <w:sz w:val="18"/>
          <w:szCs w:val="18"/>
        </w:rPr>
        <w:t>十八、负极板回路垫技术参数</w:t>
      </w:r>
      <w:r>
        <w:rPr>
          <w:rFonts w:hint="eastAsia" w:ascii="黑体" w:hAnsi="黑体" w:eastAsia="黑体" w:cs="黑体"/>
          <w:b/>
          <w:bCs/>
          <w:sz w:val="18"/>
          <w:szCs w:val="18"/>
        </w:rPr>
        <w:tab/>
      </w:r>
    </w:p>
    <w:p w14:paraId="0AE1086E">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1．外观尺寸：长≥850mm ，宽 ≥400mm ，高≥13mm；内部电极尺寸：长≥650mm ，宽 ≥350mm。</w:t>
      </w:r>
    </w:p>
    <w:p w14:paraId="310B5077">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2．构成：由回路电极垫和外接导线两部分组成。</w:t>
      </w:r>
    </w:p>
    <w:p w14:paraId="7F9666D3">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3．适用范围：为手术室高频手术设备提供负极回路，适用于所有医用高频手术设备。</w:t>
      </w:r>
    </w:p>
    <w:p w14:paraId="5A129A96">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4．材质：回路电极垫主体原料由高分子凝胶构成，质地柔软，具有良好的弹性和生物相容性。</w:t>
      </w:r>
    </w:p>
    <w:p w14:paraId="6D99013F">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5．与病人的接触方式：非直接接触。</w:t>
      </w:r>
    </w:p>
    <w:p w14:paraId="4BA25328">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w:t>
      </w:r>
      <w:r>
        <w:rPr>
          <w:rFonts w:hint="eastAsia" w:ascii="黑体" w:hAnsi="黑体" w:eastAsia="黑体" w:cs="黑体"/>
          <w:sz w:val="18"/>
          <w:szCs w:val="18"/>
        </w:rPr>
        <w:tab/>
      </w:r>
      <w:r>
        <w:rPr>
          <w:rFonts w:hint="eastAsia" w:ascii="黑体" w:hAnsi="黑体" w:eastAsia="黑体" w:cs="黑体"/>
          <w:sz w:val="18"/>
          <w:szCs w:val="18"/>
        </w:rPr>
        <w:t>6．可重复使用。</w:t>
      </w:r>
    </w:p>
    <w:p w14:paraId="71E7BA85">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w:t>
      </w:r>
      <w:r>
        <w:rPr>
          <w:rFonts w:hint="eastAsia" w:ascii="黑体" w:hAnsi="黑体" w:eastAsia="黑体" w:cs="黑体"/>
          <w:sz w:val="18"/>
          <w:szCs w:val="18"/>
        </w:rPr>
        <w:tab/>
      </w:r>
      <w:r>
        <w:rPr>
          <w:rFonts w:hint="eastAsia" w:ascii="黑体" w:hAnsi="黑体" w:eastAsia="黑体" w:cs="黑体"/>
          <w:sz w:val="18"/>
          <w:szCs w:val="18"/>
        </w:rPr>
        <w:t>7．可替代一次性负极板片。</w:t>
      </w:r>
    </w:p>
    <w:p w14:paraId="0804017A">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8.不影响X光透视成像。</w:t>
      </w:r>
    </w:p>
    <w:p w14:paraId="734BC058">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p>
    <w:p w14:paraId="14CF557A">
      <w:pPr>
        <w:keepNext w:val="0"/>
        <w:keepLines w:val="0"/>
        <w:pageBreakBefore w:val="0"/>
        <w:kinsoku/>
        <w:wordWrap/>
        <w:overflowPunct/>
        <w:topLinePunct w:val="0"/>
        <w:autoSpaceDE/>
        <w:autoSpaceDN/>
        <w:bidi w:val="0"/>
        <w:adjustRightInd/>
        <w:snapToGrid/>
        <w:spacing w:line="360" w:lineRule="auto"/>
        <w:outlineLvl w:val="0"/>
        <w:rPr>
          <w:rFonts w:hint="eastAsia" w:ascii="黑体" w:hAnsi="黑体" w:eastAsia="黑体" w:cs="黑体"/>
          <w:sz w:val="18"/>
          <w:szCs w:val="18"/>
        </w:rPr>
      </w:pPr>
      <w:r>
        <w:rPr>
          <w:rFonts w:hint="eastAsia" w:ascii="黑体" w:hAnsi="黑体" w:eastAsia="黑体" w:cs="黑体"/>
          <w:b/>
          <w:bCs/>
          <w:sz w:val="18"/>
          <w:szCs w:val="18"/>
        </w:rPr>
        <w:t>十九、动态血压检测仪技术参数</w:t>
      </w:r>
      <w:r>
        <w:rPr>
          <w:rFonts w:hint="eastAsia" w:ascii="黑体" w:hAnsi="黑体" w:eastAsia="黑体" w:cs="黑体"/>
          <w:sz w:val="18"/>
          <w:szCs w:val="18"/>
        </w:rPr>
        <w:tab/>
      </w:r>
    </w:p>
    <w:p w14:paraId="5E5E4E74">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1、测量方法：阶梯放气示波法</w:t>
      </w:r>
    </w:p>
    <w:p w14:paraId="1E056803">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w:t>
      </w:r>
      <w:r>
        <w:rPr>
          <w:rFonts w:hint="eastAsia" w:ascii="黑体" w:hAnsi="黑体" w:eastAsia="黑体" w:cs="黑体"/>
          <w:sz w:val="18"/>
          <w:szCs w:val="18"/>
        </w:rPr>
        <w:tab/>
      </w:r>
      <w:r>
        <w:rPr>
          <w:rFonts w:hint="eastAsia" w:ascii="黑体" w:hAnsi="黑体" w:eastAsia="黑体" w:cs="黑体"/>
          <w:sz w:val="18"/>
          <w:szCs w:val="18"/>
        </w:rPr>
        <w:t>2、测量精度≤</w:t>
      </w:r>
      <w:r>
        <w:rPr>
          <w:rFonts w:hint="eastAsia" w:ascii="黑体" w:hAnsi="黑体" w:eastAsia="黑体" w:cs="黑体"/>
          <w:sz w:val="18"/>
          <w:szCs w:val="18"/>
          <w:lang w:val="en-US" w:eastAsia="zh-CN"/>
        </w:rPr>
        <w:t>±</w:t>
      </w:r>
      <w:r>
        <w:rPr>
          <w:rFonts w:hint="eastAsia" w:ascii="黑体" w:hAnsi="黑体" w:eastAsia="黑体" w:cs="黑体"/>
          <w:sz w:val="18"/>
          <w:szCs w:val="18"/>
        </w:rPr>
        <w:t>3mmHg</w:t>
      </w:r>
    </w:p>
    <w:p w14:paraId="5897F4D5">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w:t>
      </w:r>
      <w:r>
        <w:rPr>
          <w:rFonts w:hint="eastAsia" w:ascii="黑体" w:hAnsi="黑体" w:eastAsia="黑体" w:cs="黑体"/>
          <w:sz w:val="18"/>
          <w:szCs w:val="18"/>
        </w:rPr>
        <w:tab/>
      </w:r>
      <w:r>
        <w:rPr>
          <w:rFonts w:hint="eastAsia" w:ascii="黑体" w:hAnsi="黑体" w:eastAsia="黑体" w:cs="黑体"/>
          <w:sz w:val="18"/>
          <w:szCs w:val="18"/>
        </w:rPr>
        <w:t>3、测量范围：收缩压不小于40-260mmHg、舒张压不小于20-210mmHg、心率不小于40-200bpm</w:t>
      </w:r>
    </w:p>
    <w:p w14:paraId="21377CB4">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4、测量间隔：5、10、15、20、30、45、60、90、120分钟等多种时间间隔选择。</w:t>
      </w:r>
    </w:p>
    <w:p w14:paraId="22AAA5F9">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5、特有的体位信息记录，帮助医生判断血压升降原因。</w:t>
      </w:r>
    </w:p>
    <w:p w14:paraId="54CC5412">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6、双压力传感器，双重保护功能。</w:t>
      </w:r>
    </w:p>
    <w:p w14:paraId="6FBABB9F">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7、采用防干扰动态血压技术，提供很强的抗运动干扰能力。</w:t>
      </w:r>
    </w:p>
    <w:p w14:paraId="3D513D6E">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8、为防止病人随意按键，提供监护仪开关启动测量的停用功能。</w:t>
      </w:r>
    </w:p>
    <w:p w14:paraId="4586A2C5">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9、黑屏选项：可设置监测仪为黑屏状态，以免患者好奇触动。</w:t>
      </w:r>
    </w:p>
    <w:p w14:paraId="61760EC6">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10、数据通讯支持USB接口，保证数据传输的稳定性和可靠性。</w:t>
      </w:r>
    </w:p>
    <w:p w14:paraId="3EAA2F5E">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11、提供白天、晚上以及特殊时间段等测量时间段设置，时间段≥5个。</w:t>
      </w:r>
    </w:p>
    <w:p w14:paraId="21D7C75B">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12、智能升压，每次充气到上次测量读数以上35-50mmHg以提高病人舒适性，减少测量时间。</w:t>
      </w:r>
    </w:p>
    <w:p w14:paraId="26744A93">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13、液晶屏同屏显示收缩压、舒张压和心率。处于工作状态时记录盒显示时间与光点。</w:t>
      </w:r>
    </w:p>
    <w:p w14:paraId="7A25F8F4">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14、袖带可拆掉气囊再清洗，便于使用清洁。纯棉内衬，舒适，吸汗，防滑。</w:t>
      </w:r>
    </w:p>
    <w:p w14:paraId="3192BB03">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15、提供最大充气压设置。</w:t>
      </w:r>
    </w:p>
    <w:p w14:paraId="44647645">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16、测量失败,会自动重测。</w:t>
      </w:r>
    </w:p>
    <w:p w14:paraId="554921AB">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17、读数超标警示。血压读数超过设定的限值后，产生警示。警示有显示，声音两种方式。</w:t>
      </w:r>
    </w:p>
    <w:p w14:paraId="02E3D872">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18、电池剩余电量可观测，便于判断是否需要更换电池，做到最大可能节省电池；</w:t>
      </w:r>
    </w:p>
    <w:p w14:paraId="2499969A">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19、分析软件提供数据表图、趋势图、血压数据统计图表、柱状图、圆饼图，每小时平均血压，血压速率乘积以及收缩压和舒张压，心率相关图（离散图）。</w:t>
      </w:r>
    </w:p>
    <w:p w14:paraId="180F21F9">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20、软件可自由设定报告内容、可根据需要自动选择报告类型打印报告，无需按页打印。</w:t>
      </w:r>
    </w:p>
    <w:p w14:paraId="5BC556B7">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21、统计计算血压平滑指数，晨峰系数，血压变异系数，动脉硬化指数，显示在统计页上。</w:t>
      </w:r>
    </w:p>
    <w:p w14:paraId="7418A282">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22、可以任意设置测量数据的保留路径，防止安装盘容量饱和。</w:t>
      </w:r>
    </w:p>
    <w:p w14:paraId="35371369">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23、电子搜索功能，读取数据时可以轻易找到病人信息，无需重新手工输入。</w:t>
      </w:r>
    </w:p>
    <w:p w14:paraId="1060F8D8">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24、提供白大衣高血压自动分析功能，采用特殊颜色表示白大衣高血压分析时间段。</w:t>
      </w:r>
    </w:p>
    <w:p w14:paraId="55900846">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25、趋势图可以容纳的数据≥72小时。</w:t>
      </w:r>
    </w:p>
    <w:p w14:paraId="77703982">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26、可自动生成PDF格式报告。</w:t>
      </w:r>
    </w:p>
    <w:p w14:paraId="59607E0E">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27、软件可以设置收缩压、舒张压、夜间血压、背景、血压阈值等图表颜色，符合操作医生的审美习惯。</w:t>
      </w:r>
    </w:p>
    <w:p w14:paraId="488A7401">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28、有血压比较分析功能。一个人如果前后两次或多次就诊。软件可以比较最近两次就诊的血压数据。</w:t>
      </w:r>
    </w:p>
    <w:p w14:paraId="41EC1B5D">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29、软件提供医嘱电子签名。</w:t>
      </w:r>
    </w:p>
    <w:p w14:paraId="34D530FF">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30、诊断报告可设置医院名称和LOGO。</w:t>
      </w:r>
    </w:p>
    <w:p w14:paraId="0A8C70C3">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w:t>
      </w:r>
      <w:r>
        <w:rPr>
          <w:rFonts w:hint="eastAsia" w:ascii="黑体" w:hAnsi="黑体" w:eastAsia="黑体" w:cs="黑体"/>
          <w:sz w:val="18"/>
          <w:szCs w:val="18"/>
        </w:rPr>
        <w:tab/>
      </w:r>
      <w:r>
        <w:rPr>
          <w:rFonts w:hint="eastAsia" w:ascii="黑体" w:hAnsi="黑体" w:eastAsia="黑体" w:cs="黑体"/>
          <w:sz w:val="18"/>
          <w:szCs w:val="18"/>
        </w:rPr>
        <w:t>31、分析软件需中标供应商提供</w:t>
      </w:r>
    </w:p>
    <w:p w14:paraId="6B748097">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p>
    <w:p w14:paraId="33FA5ED0">
      <w:pPr>
        <w:keepNext w:val="0"/>
        <w:keepLines w:val="0"/>
        <w:pageBreakBefore w:val="0"/>
        <w:kinsoku/>
        <w:wordWrap/>
        <w:overflowPunct/>
        <w:topLinePunct w:val="0"/>
        <w:autoSpaceDE/>
        <w:autoSpaceDN/>
        <w:bidi w:val="0"/>
        <w:adjustRightInd/>
        <w:snapToGrid/>
        <w:spacing w:line="360" w:lineRule="auto"/>
        <w:outlineLvl w:val="0"/>
        <w:rPr>
          <w:rFonts w:hint="eastAsia" w:ascii="黑体" w:hAnsi="黑体" w:eastAsia="黑体" w:cs="黑体"/>
          <w:b/>
          <w:bCs/>
          <w:sz w:val="18"/>
          <w:szCs w:val="18"/>
        </w:rPr>
      </w:pPr>
      <w:r>
        <w:rPr>
          <w:rFonts w:hint="eastAsia" w:ascii="黑体" w:hAnsi="黑体" w:eastAsia="黑体" w:cs="黑体"/>
          <w:b/>
          <w:bCs/>
          <w:sz w:val="18"/>
          <w:szCs w:val="18"/>
        </w:rPr>
        <w:t>二十、牙科综合治疗椅技术参数</w:t>
      </w:r>
      <w:r>
        <w:rPr>
          <w:rFonts w:hint="eastAsia" w:ascii="黑体" w:hAnsi="黑体" w:eastAsia="黑体" w:cs="黑体"/>
          <w:b/>
          <w:bCs/>
          <w:sz w:val="18"/>
          <w:szCs w:val="18"/>
        </w:rPr>
        <w:tab/>
      </w:r>
    </w:p>
    <w:p w14:paraId="6E14DB02">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1、产品单台配置与配件：</w:t>
      </w:r>
    </w:p>
    <w:p w14:paraId="74862357">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(一)、医生位：</w:t>
      </w:r>
    </w:p>
    <w:p w14:paraId="2130F245">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1、高速手机2个。</w:t>
      </w:r>
    </w:p>
    <w:p w14:paraId="35CB430A">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2、气动低速手机马达1个。</w:t>
      </w:r>
    </w:p>
    <w:p w14:paraId="5FC5ED17">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3、气动低速手机直手机1个。</w:t>
      </w:r>
    </w:p>
    <w:p w14:paraId="074FC51C">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4、气动低速手机弯手机1个。</w:t>
      </w:r>
    </w:p>
    <w:p w14:paraId="60DD5819">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5、三用喷枪1支。</w:t>
      </w:r>
    </w:p>
    <w:p w14:paraId="28D1B521">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6、医生位多功能程序控制盘1个。</w:t>
      </w:r>
    </w:p>
    <w:p w14:paraId="1FEB7B7E">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(二)、助手位：</w:t>
      </w:r>
    </w:p>
    <w:p w14:paraId="4A1ED864">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1、三用喷枪1支。</w:t>
      </w:r>
    </w:p>
    <w:p w14:paraId="4FAE9E55">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2、强力吸唾1支。</w:t>
      </w:r>
    </w:p>
    <w:p w14:paraId="68D75DAA">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3、弱力吸唾1支。</w:t>
      </w:r>
    </w:p>
    <w:p w14:paraId="2375A545">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4、助手位多功能程序控制盘1个。</w:t>
      </w:r>
    </w:p>
    <w:p w14:paraId="0BFA42E0">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(三)、其它配置：</w:t>
      </w:r>
    </w:p>
    <w:p w14:paraId="7973FD38">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1、感应式 LED 口 腔 灯 1 套 。</w:t>
      </w:r>
    </w:p>
    <w:p w14:paraId="1634504C">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2、一体式可旋转陶瓷痰盂1套。</w:t>
      </w:r>
    </w:p>
    <w:p w14:paraId="5F4D6FA6">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3、主箱体1套。</w:t>
      </w:r>
    </w:p>
    <w:p w14:paraId="7BD991FB">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4、器械盘1套。</w:t>
      </w:r>
    </w:p>
    <w:p w14:paraId="4E52DAE7">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5、多功能脚控开关1套。</w:t>
      </w:r>
    </w:p>
    <w:p w14:paraId="6D7CC78A">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6、手机净水、消毒水系统1套。</w:t>
      </w:r>
    </w:p>
    <w:p w14:paraId="5FAA3CF7">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7、冲盂漱口定量给水自动控制系统1套。</w:t>
      </w:r>
    </w:p>
    <w:p w14:paraId="3EDEB641">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8、全电动牙科椅1套。</w:t>
      </w:r>
    </w:p>
    <w:p w14:paraId="1A653721">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9、医生座椅1套。</w:t>
      </w:r>
    </w:p>
    <w:p w14:paraId="2A777745">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2、产品性能参数：</w:t>
      </w:r>
    </w:p>
    <w:p w14:paraId="6BC28D75">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一 、设备性能参数：</w:t>
      </w:r>
    </w:p>
    <w:p w14:paraId="56351641">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(一)、医生操作台：</w:t>
      </w:r>
    </w:p>
    <w:p w14:paraId="5246DBCD">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w:t>
      </w:r>
      <w:r>
        <w:rPr>
          <w:rFonts w:hint="eastAsia" w:ascii="黑体" w:hAnsi="黑体" w:eastAsia="黑体" w:cs="黑体"/>
          <w:sz w:val="18"/>
          <w:szCs w:val="18"/>
        </w:rPr>
        <w:tab/>
      </w:r>
      <w:r>
        <w:rPr>
          <w:rFonts w:hint="eastAsia" w:ascii="黑体" w:hAnsi="黑体" w:eastAsia="黑体" w:cs="黑体"/>
          <w:sz w:val="18"/>
          <w:szCs w:val="18"/>
        </w:rPr>
        <w:t>1、高速手机2支。转速≥310000转/分钟，可进行135℃高温和真空灭菌消毒。</w:t>
      </w:r>
    </w:p>
    <w:p w14:paraId="7AE638ED">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w:t>
      </w:r>
      <w:r>
        <w:rPr>
          <w:rFonts w:hint="eastAsia" w:ascii="黑体" w:hAnsi="黑体" w:eastAsia="黑体" w:cs="黑体"/>
          <w:sz w:val="18"/>
          <w:szCs w:val="18"/>
        </w:rPr>
        <w:tab/>
      </w:r>
      <w:r>
        <w:rPr>
          <w:rFonts w:hint="eastAsia" w:ascii="黑体" w:hAnsi="黑体" w:eastAsia="黑体" w:cs="黑体"/>
          <w:sz w:val="18"/>
          <w:szCs w:val="18"/>
        </w:rPr>
        <w:t>2、 气动低速手机1套：(含直机、弯机、马达)。转速≥20000转/ 分钟，可进行135℃高温和真空灭菌消毒。</w:t>
      </w:r>
    </w:p>
    <w:p w14:paraId="0CCF7894">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w:t>
      </w:r>
      <w:r>
        <w:rPr>
          <w:rFonts w:hint="eastAsia" w:ascii="黑体" w:hAnsi="黑体" w:eastAsia="黑体" w:cs="黑体"/>
          <w:sz w:val="18"/>
          <w:szCs w:val="18"/>
        </w:rPr>
        <w:tab/>
      </w:r>
      <w:r>
        <w:rPr>
          <w:rFonts w:hint="eastAsia" w:ascii="黑体" w:hAnsi="黑体" w:eastAsia="黑体" w:cs="黑体"/>
          <w:sz w:val="18"/>
          <w:szCs w:val="18"/>
        </w:rPr>
        <w:t>3、三用枪1支：可喷水、气、雾，枪头可进行135℃高温和真空灭菌消毒。</w:t>
      </w:r>
    </w:p>
    <w:p w14:paraId="41FF434F">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4、医生位配备数字化显示器，显示控制治疗机使用状态。</w:t>
      </w:r>
    </w:p>
    <w:p w14:paraId="15044C59">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5、医生位具有全电脑控制面板，可控制包括：设置、复位、水杯加热、灯、漱口水、冲盂水、牙椅升、降、俯、仰功能。</w:t>
      </w:r>
    </w:p>
    <w:p w14:paraId="1A1102C6">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6、医生操作盘与器械挂架独立分开，器械挂架≥5个，挂架可单独向外旋转，旋转范围≥0°-130°,器械挂架上下旋转，旋转范围≥0°-0°--15°。</w:t>
      </w:r>
    </w:p>
    <w:p w14:paraId="3F26A13F">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7、器械盘下罩壳采用防锈蚀金属材质。</w:t>
      </w:r>
    </w:p>
    <w:p w14:paraId="75E372C8">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8、具备开机自检功能</w:t>
      </w:r>
    </w:p>
    <w:p w14:paraId="1F0E6931">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(二)、助手操作台：</w:t>
      </w:r>
    </w:p>
    <w:p w14:paraId="71DA6D28">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1、配备三用枪1支：可喷水、气、雾，枪头可进行135℃高温和真空灭菌消毒。</w:t>
      </w:r>
    </w:p>
    <w:p w14:paraId="6383C29B">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2、配备三关节以上旋转式助手架。</w:t>
      </w:r>
    </w:p>
    <w:p w14:paraId="3C04B3A4">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3、助手位设有全电脑控制面板</w:t>
      </w:r>
    </w:p>
    <w:p w14:paraId="3FBD36A6">
      <w:pPr>
        <w:keepNext w:val="0"/>
        <w:keepLines w:val="0"/>
        <w:pageBreakBefore w:val="0"/>
        <w:kinsoku/>
        <w:wordWrap/>
        <w:overflowPunct/>
        <w:topLinePunct w:val="0"/>
        <w:autoSpaceDE/>
        <w:autoSpaceDN/>
        <w:bidi w:val="0"/>
        <w:adjustRightInd/>
        <w:snapToGrid/>
        <w:spacing w:line="360" w:lineRule="auto"/>
        <w:ind w:firstLine="360" w:firstLineChars="200"/>
        <w:rPr>
          <w:rFonts w:hint="eastAsia" w:ascii="黑体" w:hAnsi="黑体" w:eastAsia="黑体" w:cs="黑体"/>
          <w:sz w:val="18"/>
          <w:szCs w:val="18"/>
        </w:rPr>
      </w:pPr>
      <w:r>
        <w:rPr>
          <w:rFonts w:hint="eastAsia" w:ascii="黑体" w:hAnsi="黑体" w:eastAsia="黑体" w:cs="黑体"/>
          <w:sz w:val="18"/>
          <w:szCs w:val="18"/>
        </w:rPr>
        <w:t>4、助手单元具备≥5个器械挂架，满足助手配合治疗的操作需求。</w:t>
      </w:r>
    </w:p>
    <w:p w14:paraId="602C5238">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(三)、多头LED口腔灯：</w:t>
      </w:r>
    </w:p>
    <w:p w14:paraId="745BA052">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1、操作模式：自动感应。</w:t>
      </w:r>
    </w:p>
    <w:p w14:paraId="1D3724A5">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2、 口腔灯开启与关闭可通过灯架的底部、医生控制台、助手控制台、脚控 开关位置等四个位置。</w:t>
      </w:r>
    </w:p>
    <w:p w14:paraId="5B63D913">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3、口腔灯具备无级调光功能。</w:t>
      </w:r>
    </w:p>
    <w:p w14:paraId="400553D5">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4、口腔灯最大照度≥32000lux。</w:t>
      </w:r>
    </w:p>
    <w:p w14:paraId="46C51403">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5、口腔灯把手可拉伸、锁定和拆卸，可高温消毒。</w:t>
      </w:r>
    </w:p>
    <w:p w14:paraId="7D020DD3">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(四)、器械盘：</w:t>
      </w:r>
    </w:p>
    <w:p w14:paraId="45F8F3DF">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1、器械盘，可承载≥1.5千克。透明整体防污罩。</w:t>
      </w:r>
    </w:p>
    <w:p w14:paraId="4CCB8CA2">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(五)、主箱体：</w:t>
      </w:r>
    </w:p>
    <w:p w14:paraId="0EF3D4E5">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主箱体可向外旋转，设有增、泄气开关</w:t>
      </w:r>
    </w:p>
    <w:p w14:paraId="04E16EE6">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(六)、强、弱吸吸唾系统：</w:t>
      </w:r>
    </w:p>
    <w:p w14:paraId="761F9BE5">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强、弱吸插拔装置，配有强、弱吸清洗过滤网。</w:t>
      </w:r>
    </w:p>
    <w:p w14:paraId="54A46506">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(七)、痰盂：</w:t>
      </w:r>
    </w:p>
    <w:p w14:paraId="0914010B">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一体式可旋转痰盂，下水流畅，方便拆卸，易清洁消毒。可向患者位旋转。</w:t>
      </w:r>
    </w:p>
    <w:p w14:paraId="719232DB">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(八)、净化水、消毒水系统：</w:t>
      </w:r>
    </w:p>
    <w:p w14:paraId="040CD957">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主箱体内部采用双水瓶设计，分别放置有纯净水以及消毒液。</w:t>
      </w:r>
    </w:p>
    <w:p w14:paraId="2B78425E">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(九)、冲盂漱口定量给水自动控制系统：</w:t>
      </w:r>
    </w:p>
    <w:p w14:paraId="0566CC5A">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电磁阀控制冲盂、漱口水，可设定给水时间，漱口水配有可自动加热恒温系统。</w:t>
      </w:r>
    </w:p>
    <w:p w14:paraId="553A3AC0">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(十)、牙科(患者)椅：</w:t>
      </w:r>
    </w:p>
    <w:p w14:paraId="7F941491">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1、直流电机驱动。</w:t>
      </w:r>
    </w:p>
    <w:p w14:paraId="1C935AD8">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2、最低椅位≤350mm, 最高椅位≥800mm。</w:t>
      </w:r>
    </w:p>
    <w:p w14:paraId="75921AA3">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3、多关节折叠式头枕，可多角度调整并固定。</w:t>
      </w:r>
    </w:p>
    <w:p w14:paraId="4AC7E975">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4、牙科椅承载能力≥150Kg。</w:t>
      </w:r>
    </w:p>
    <w:p w14:paraId="703E8FDC">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5、双扶手，外扶手可上下旋转。</w:t>
      </w:r>
    </w:p>
    <w:p w14:paraId="1CDB6129">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(十一)、复合脚踏开关：</w:t>
      </w:r>
    </w:p>
    <w:p w14:paraId="32FBF3B6">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1、可控制患者椅位升降及俯仰的椅位运动。</w:t>
      </w:r>
    </w:p>
    <w:p w14:paraId="2616810D">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2、可控制高速手机、低速手机、洁牙机等动态器械。</w:t>
      </w:r>
    </w:p>
    <w:p w14:paraId="1C545A43">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3、可控制高速手机单喷气/无水操作。</w:t>
      </w:r>
    </w:p>
    <w:p w14:paraId="3D618D3A">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4、可控制高速手机吹屑气操作。</w:t>
      </w:r>
    </w:p>
    <w:p w14:paraId="37F22937">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5、可控制牙椅治疗位及手术灯开启及关闭。</w:t>
      </w:r>
    </w:p>
    <w:p w14:paraId="3D19ECC1">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6、可控制冲盂、漱口。</w:t>
      </w:r>
    </w:p>
    <w:p w14:paraId="5ADF3B37">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7、预设吐痰记忆位。</w:t>
      </w:r>
    </w:p>
    <w:p w14:paraId="7D91EA82">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(十二)、全面安全保障控制：</w:t>
      </w:r>
    </w:p>
    <w:p w14:paraId="11837AFE">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1、牙椅具有安全保护功能：牙椅在下降和靠背在仰的动作过程中遇障碍座椅会停止运动。</w:t>
      </w:r>
    </w:p>
    <w:p w14:paraId="327AF196">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2、牙椅具有即停功能：无论牙椅进行任何运动，只要按上主控面板上任意一个椅位键，牙椅运动停止，有效避免意外发生。</w:t>
      </w:r>
    </w:p>
    <w:p w14:paraId="41EB9B8C">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3、当手机工作时，牙科椅自动锁定。</w:t>
      </w:r>
    </w:p>
    <w:p w14:paraId="4D9DB310">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4、设置负载短路及过载保护，保证了设备电气的使用安全。</w:t>
      </w:r>
    </w:p>
    <w:p w14:paraId="458519CE">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(十三)、医生座椅：</w:t>
      </w:r>
    </w:p>
    <w:p w14:paraId="09A59552">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座椅高度可调节，最低椅位≤450mm,最高位≥570mm, 座垫可在水平面内360°旋转。</w:t>
      </w:r>
    </w:p>
    <w:p w14:paraId="350446F6">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p>
    <w:p w14:paraId="14833131">
      <w:pPr>
        <w:keepNext w:val="0"/>
        <w:keepLines w:val="0"/>
        <w:pageBreakBefore w:val="0"/>
        <w:kinsoku/>
        <w:wordWrap/>
        <w:overflowPunct/>
        <w:topLinePunct w:val="0"/>
        <w:autoSpaceDE/>
        <w:autoSpaceDN/>
        <w:bidi w:val="0"/>
        <w:adjustRightInd/>
        <w:snapToGrid/>
        <w:spacing w:line="360" w:lineRule="auto"/>
        <w:outlineLvl w:val="0"/>
        <w:rPr>
          <w:rFonts w:hint="eastAsia" w:ascii="黑体" w:hAnsi="黑体" w:eastAsia="黑体" w:cs="黑体"/>
          <w:b/>
          <w:bCs/>
          <w:sz w:val="18"/>
          <w:szCs w:val="18"/>
          <w:lang w:val="en-US" w:eastAsia="zh-CN"/>
        </w:rPr>
      </w:pPr>
      <w:r>
        <w:rPr>
          <w:rFonts w:hint="eastAsia" w:ascii="黑体" w:hAnsi="黑体" w:eastAsia="黑体" w:cs="黑体"/>
          <w:b/>
          <w:bCs/>
          <w:sz w:val="18"/>
          <w:szCs w:val="18"/>
        </w:rPr>
        <w:t>二十一、聚焦超声皮肤治疗仪技术参数</w:t>
      </w:r>
      <w:r>
        <w:rPr>
          <w:rFonts w:hint="eastAsia" w:ascii="黑体" w:hAnsi="黑体" w:eastAsia="黑体" w:cs="黑体"/>
          <w:b/>
          <w:bCs/>
          <w:sz w:val="18"/>
          <w:szCs w:val="18"/>
        </w:rPr>
        <w:tab/>
      </w:r>
      <w:r>
        <w:rPr>
          <w:rFonts w:hint="eastAsia" w:ascii="黑体" w:hAnsi="黑体" w:eastAsia="黑体" w:cs="黑体"/>
          <w:b/>
          <w:bCs/>
          <w:sz w:val="18"/>
          <w:szCs w:val="18"/>
          <w:lang w:val="en-US" w:eastAsia="zh-CN"/>
        </w:rPr>
        <w:t xml:space="preserve"> ☆ 核心产品</w:t>
      </w:r>
    </w:p>
    <w:p w14:paraId="51098B98">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w:t>
      </w:r>
      <w:r>
        <w:rPr>
          <w:rFonts w:hint="eastAsia" w:ascii="黑体" w:hAnsi="黑体" w:eastAsia="黑体" w:cs="黑体"/>
          <w:sz w:val="18"/>
          <w:szCs w:val="18"/>
        </w:rPr>
        <w:tab/>
      </w:r>
      <w:r>
        <w:rPr>
          <w:rFonts w:hint="eastAsia" w:ascii="黑体" w:hAnsi="黑体" w:eastAsia="黑体" w:cs="黑体"/>
          <w:sz w:val="18"/>
          <w:szCs w:val="18"/>
        </w:rPr>
        <w:t>1. 利用超声聚焦热效应，作用于皮下组织，用于改善皮肤松弛。提供注册证，注册证适用范围至少包括中下面部、颏下、颈部。</w:t>
      </w:r>
    </w:p>
    <w:p w14:paraId="09050EC7">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2. 波束类型：会聚型</w:t>
      </w:r>
    </w:p>
    <w:p w14:paraId="0D27B23B">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3. 超声输出方式：脉冲式</w:t>
      </w:r>
    </w:p>
    <w:p w14:paraId="54E15ED8">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4. 焦平面距离：至少包含2.0mm、3.0mm、4.5mm</w:t>
      </w:r>
    </w:p>
    <w:p w14:paraId="72A7AA5A">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5. 最大额定输出声功率≥6.5W；</w:t>
      </w:r>
    </w:p>
    <w:p w14:paraId="2F799E4C">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6. 侧壁不需要的超声辐射：≤100mW/cm2</w:t>
      </w:r>
    </w:p>
    <w:p w14:paraId="432C533B">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7. 治疗头超温：≤41℃</w:t>
      </w:r>
    </w:p>
    <w:p w14:paraId="367E658E">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8. 噪声：≤65dB(A)</w:t>
      </w:r>
    </w:p>
    <w:p w14:paraId="4A3E8F70">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9. 超声炮手柄具有滑动传感器检测功能，手柄停止运动立即停止输出超声能量</w:t>
      </w:r>
    </w:p>
    <w:p w14:paraId="2A92DDFF">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10. 脚踏开关防进液的防护程度：≥IPX8；</w:t>
      </w:r>
    </w:p>
    <w:p w14:paraId="22BCAAFE">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11. 手柄类型：至少具备超声刀手具、超声炮手具</w:t>
      </w:r>
    </w:p>
    <w:p w14:paraId="263D247D">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12. 超声刀手柄：治疗头与手柄一体化设计不可拆卸</w:t>
      </w:r>
    </w:p>
    <w:p w14:paraId="3FBDB7DB">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13. 超声炮单个治疗头治疗头发数≥40万发</w:t>
      </w:r>
    </w:p>
    <w:p w14:paraId="18825F68">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14. 超声刀单个治疗头治疗头发数≥3万发</w:t>
      </w:r>
    </w:p>
    <w:p w14:paraId="7818CAB1">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15. 开机可自定义开机密码，避免非专业人员误操作</w:t>
      </w:r>
    </w:p>
    <w:p w14:paraId="2440E65F">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16. 具备系统在线更新功能</w:t>
      </w:r>
    </w:p>
    <w:p w14:paraId="44A72E60">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17. 系统支持新建客户档案，方便随时查看患者的历史诊疗记录</w:t>
      </w:r>
    </w:p>
    <w:p w14:paraId="2280A025">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18. 设备主机上同时具有三个以上连接线插孔适配安装超声刀手柄</w:t>
      </w:r>
    </w:p>
    <w:p w14:paraId="0A53AB94">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19. 治疗界面多种参数可调，包括输出功率、点间隔、长度、定时等</w:t>
      </w:r>
    </w:p>
    <w:p w14:paraId="00D87E5C">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20. 配备台车，配备脚踏开关，配备电源线。</w:t>
      </w:r>
    </w:p>
    <w:p w14:paraId="2AEB95F7">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rPr>
        <w:tab/>
      </w:r>
      <w:r>
        <w:rPr>
          <w:rFonts w:hint="eastAsia" w:ascii="黑体" w:hAnsi="黑体" w:eastAsia="黑体" w:cs="黑体"/>
          <w:sz w:val="18"/>
          <w:szCs w:val="18"/>
        </w:rPr>
        <w:t>22. 设备可选配影像模块</w:t>
      </w:r>
    </w:p>
    <w:p w14:paraId="30EAEAAD">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p>
    <w:p w14:paraId="14F243CB">
      <w:pPr>
        <w:keepNext w:val="0"/>
        <w:keepLines w:val="0"/>
        <w:pageBreakBefore w:val="0"/>
        <w:kinsoku/>
        <w:wordWrap/>
        <w:overflowPunct/>
        <w:topLinePunct w:val="0"/>
        <w:autoSpaceDE/>
        <w:autoSpaceDN/>
        <w:bidi w:val="0"/>
        <w:adjustRightInd/>
        <w:snapToGrid/>
        <w:spacing w:line="360" w:lineRule="auto"/>
        <w:outlineLvl w:val="0"/>
        <w:rPr>
          <w:rFonts w:hint="eastAsia" w:ascii="黑体" w:hAnsi="黑体" w:eastAsia="黑体" w:cs="黑体"/>
          <w:b/>
          <w:bCs/>
          <w:sz w:val="18"/>
          <w:szCs w:val="18"/>
          <w:highlight w:val="none"/>
          <w:lang w:val="en-US" w:eastAsia="zh-CN"/>
        </w:rPr>
      </w:pPr>
      <w:r>
        <w:rPr>
          <w:rFonts w:hint="eastAsia" w:ascii="黑体" w:hAnsi="黑体" w:eastAsia="黑体" w:cs="黑体"/>
          <w:sz w:val="18"/>
          <w:szCs w:val="18"/>
          <w:highlight w:val="none"/>
          <w:lang w:val="en-US" w:eastAsia="zh-CN"/>
        </w:rPr>
        <w:t>二十二</w:t>
      </w:r>
      <w:r>
        <w:rPr>
          <w:rFonts w:hint="eastAsia" w:ascii="黑体" w:hAnsi="黑体" w:eastAsia="黑体" w:cs="黑体"/>
          <w:b/>
          <w:bCs/>
          <w:sz w:val="18"/>
          <w:szCs w:val="18"/>
          <w:highlight w:val="none"/>
          <w:lang w:val="en-US" w:eastAsia="zh-CN"/>
        </w:rPr>
        <w:t>、</w:t>
      </w:r>
      <w:r>
        <w:rPr>
          <w:rFonts w:hint="eastAsia" w:ascii="黑体" w:hAnsi="黑体" w:eastAsia="黑体" w:cs="黑体"/>
          <w:b/>
          <w:bCs/>
          <w:sz w:val="18"/>
          <w:szCs w:val="18"/>
          <w:highlight w:val="none"/>
        </w:rPr>
        <w:t>神经外科</w:t>
      </w:r>
      <w:r>
        <w:rPr>
          <w:rFonts w:hint="eastAsia" w:ascii="黑体" w:hAnsi="黑体" w:eastAsia="黑体" w:cs="黑体"/>
          <w:b/>
          <w:bCs/>
          <w:sz w:val="18"/>
          <w:szCs w:val="18"/>
          <w:highlight w:val="none"/>
          <w:lang w:val="en-US" w:eastAsia="zh-CN"/>
        </w:rPr>
        <w:t>器械</w:t>
      </w:r>
    </w:p>
    <w:tbl>
      <w:tblPr>
        <w:tblStyle w:val="2"/>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97"/>
        <w:gridCol w:w="462"/>
        <w:gridCol w:w="6567"/>
        <w:gridCol w:w="336"/>
        <w:gridCol w:w="457"/>
      </w:tblGrid>
      <w:tr w14:paraId="67A501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50" w:hRule="atLeast"/>
        </w:trPr>
        <w:tc>
          <w:tcPr>
            <w:tcW w:w="409" w:type="pct"/>
            <w:vMerge w:val="restart"/>
            <w:tcBorders>
              <w:top w:val="single" w:color="000000" w:sz="4" w:space="0"/>
              <w:left w:val="single" w:color="000000" w:sz="4" w:space="0"/>
              <w:bottom w:val="single" w:color="000000" w:sz="4" w:space="0"/>
              <w:right w:val="single" w:color="000000" w:sz="4" w:space="0"/>
            </w:tcBorders>
            <w:noWrap w:val="0"/>
            <w:vAlign w:val="center"/>
          </w:tcPr>
          <w:p w14:paraId="6FB5F078">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b/>
                <w:bCs/>
                <w:i w:val="0"/>
                <w:iCs w:val="0"/>
                <w:color w:val="000000"/>
                <w:sz w:val="18"/>
                <w:szCs w:val="18"/>
                <w:highlight w:val="none"/>
                <w:u w:val="none"/>
              </w:rPr>
            </w:pPr>
            <w:r>
              <w:rPr>
                <w:rFonts w:hint="eastAsia" w:ascii="黑体" w:hAnsi="黑体" w:eastAsia="黑体" w:cs="黑体"/>
                <w:b/>
                <w:bCs/>
                <w:i w:val="0"/>
                <w:iCs w:val="0"/>
                <w:color w:val="000000"/>
                <w:kern w:val="0"/>
                <w:sz w:val="18"/>
                <w:szCs w:val="18"/>
                <w:highlight w:val="none"/>
                <w:u w:val="none"/>
                <w:lang w:val="en-US" w:eastAsia="zh-CN" w:bidi="ar"/>
              </w:rPr>
              <w:t>神经外科</w:t>
            </w:r>
            <w:r>
              <w:rPr>
                <w:rFonts w:hint="eastAsia" w:ascii="黑体" w:hAnsi="黑体" w:eastAsia="黑体" w:cs="黑体"/>
                <w:b/>
                <w:bCs/>
                <w:i w:val="0"/>
                <w:iCs w:val="0"/>
                <w:color w:val="000000"/>
                <w:kern w:val="0"/>
                <w:sz w:val="18"/>
                <w:szCs w:val="18"/>
                <w:highlight w:val="none"/>
                <w:u w:val="none"/>
                <w:lang w:val="en-US" w:eastAsia="zh-CN" w:bidi="ar"/>
              </w:rPr>
              <w:br w:type="textWrapping"/>
            </w:r>
          </w:p>
        </w:tc>
        <w:tc>
          <w:tcPr>
            <w:tcW w:w="271" w:type="pct"/>
            <w:vMerge w:val="restart"/>
            <w:tcBorders>
              <w:top w:val="single" w:color="000000" w:sz="4" w:space="0"/>
              <w:left w:val="single" w:color="000000" w:sz="4" w:space="0"/>
              <w:right w:val="single" w:color="000000" w:sz="4" w:space="0"/>
            </w:tcBorders>
            <w:noWrap w:val="0"/>
            <w:vAlign w:val="center"/>
          </w:tcPr>
          <w:p w14:paraId="6A7F3467">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神经外科柔性可控吸引器</w:t>
            </w:r>
          </w:p>
        </w:tc>
        <w:tc>
          <w:tcPr>
            <w:tcW w:w="3853" w:type="pct"/>
            <w:tcBorders>
              <w:top w:val="single" w:color="000000" w:sz="4" w:space="0"/>
              <w:left w:val="single" w:color="000000" w:sz="4" w:space="0"/>
              <w:bottom w:val="single" w:color="000000" w:sz="4" w:space="0"/>
              <w:right w:val="single" w:color="000000" w:sz="4" w:space="0"/>
            </w:tcBorders>
            <w:noWrap w:val="0"/>
            <w:vAlign w:val="center"/>
          </w:tcPr>
          <w:p w14:paraId="107532D2">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1.长度220mm，管体直径φ2mm，水滴形控制孔，管体柔性可塑，管体头端缩口，工作长度150mm；</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2.与患者接触部分采用医用不锈钢制造，该材料化学成分符合YY/T 0294.1-2016《外科器械金属材料第1部分：不锈钢》。</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3.器械外表面亚光处理，不得有锋棱、毛刺及明显的碰伤和划痕，其表面粗糙度不大于0.8μmm。</w:t>
            </w:r>
          </w:p>
        </w:tc>
        <w:tc>
          <w:tcPr>
            <w:tcW w:w="197" w:type="pct"/>
            <w:vMerge w:val="restart"/>
            <w:tcBorders>
              <w:top w:val="single" w:color="000000" w:sz="4" w:space="0"/>
              <w:left w:val="single" w:color="000000" w:sz="4" w:space="0"/>
              <w:right w:val="single" w:color="000000" w:sz="4" w:space="0"/>
            </w:tcBorders>
            <w:noWrap w:val="0"/>
            <w:vAlign w:val="center"/>
          </w:tcPr>
          <w:p w14:paraId="74B1BAF6">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1</w:t>
            </w:r>
          </w:p>
        </w:tc>
        <w:tc>
          <w:tcPr>
            <w:tcW w:w="268" w:type="pct"/>
            <w:vMerge w:val="restart"/>
            <w:tcBorders>
              <w:top w:val="single" w:color="000000" w:sz="4" w:space="0"/>
              <w:left w:val="single" w:color="000000" w:sz="4" w:space="0"/>
              <w:right w:val="single" w:color="000000" w:sz="4" w:space="0"/>
            </w:tcBorders>
            <w:noWrap w:val="0"/>
            <w:vAlign w:val="center"/>
          </w:tcPr>
          <w:p w14:paraId="539FA623">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套</w:t>
            </w:r>
          </w:p>
        </w:tc>
      </w:tr>
      <w:tr w14:paraId="5DBEEB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50" w:hRule="atLeast"/>
        </w:trPr>
        <w:tc>
          <w:tcPr>
            <w:tcW w:w="409" w:type="pct"/>
            <w:vMerge w:val="continue"/>
            <w:tcBorders>
              <w:top w:val="single" w:color="000000" w:sz="4" w:space="0"/>
              <w:left w:val="single" w:color="000000" w:sz="4" w:space="0"/>
              <w:bottom w:val="single" w:color="000000" w:sz="4" w:space="0"/>
              <w:right w:val="single" w:color="000000" w:sz="4" w:space="0"/>
            </w:tcBorders>
            <w:noWrap w:val="0"/>
            <w:vAlign w:val="center"/>
          </w:tcPr>
          <w:p w14:paraId="2509D4C4">
            <w:pPr>
              <w:keepNext w:val="0"/>
              <w:keepLines w:val="0"/>
              <w:pageBreakBefore w:val="0"/>
              <w:kinsoku/>
              <w:wordWrap/>
              <w:overflowPunct/>
              <w:topLinePunct w:val="0"/>
              <w:autoSpaceDE/>
              <w:autoSpaceDN/>
              <w:bidi w:val="0"/>
              <w:adjustRightInd/>
              <w:snapToGrid/>
              <w:spacing w:line="360" w:lineRule="auto"/>
              <w:jc w:val="center"/>
              <w:rPr>
                <w:rFonts w:hint="eastAsia" w:ascii="黑体" w:hAnsi="黑体" w:eastAsia="黑体" w:cs="黑体"/>
                <w:b/>
                <w:bCs/>
                <w:i w:val="0"/>
                <w:iCs w:val="0"/>
                <w:color w:val="000000"/>
                <w:sz w:val="18"/>
                <w:szCs w:val="18"/>
                <w:highlight w:val="none"/>
                <w:u w:val="none"/>
              </w:rPr>
            </w:pPr>
          </w:p>
        </w:tc>
        <w:tc>
          <w:tcPr>
            <w:tcW w:w="271" w:type="pct"/>
            <w:vMerge w:val="continue"/>
            <w:tcBorders>
              <w:left w:val="single" w:color="000000" w:sz="4" w:space="0"/>
              <w:right w:val="single" w:color="000000" w:sz="4" w:space="0"/>
            </w:tcBorders>
            <w:noWrap w:val="0"/>
            <w:vAlign w:val="center"/>
          </w:tcPr>
          <w:p w14:paraId="478D2A99">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黑体" w:hAnsi="黑体" w:eastAsia="黑体" w:cs="黑体"/>
                <w:i w:val="0"/>
                <w:iCs w:val="0"/>
                <w:color w:val="000000"/>
                <w:kern w:val="0"/>
                <w:sz w:val="18"/>
                <w:szCs w:val="18"/>
                <w:highlight w:val="none"/>
                <w:u w:val="none"/>
                <w:lang w:val="en-US" w:eastAsia="zh-CN" w:bidi="ar"/>
              </w:rPr>
            </w:pPr>
          </w:p>
        </w:tc>
        <w:tc>
          <w:tcPr>
            <w:tcW w:w="3853" w:type="pct"/>
            <w:tcBorders>
              <w:top w:val="single" w:color="000000" w:sz="4" w:space="0"/>
              <w:left w:val="single" w:color="000000" w:sz="4" w:space="0"/>
              <w:bottom w:val="single" w:color="000000" w:sz="4" w:space="0"/>
              <w:right w:val="single" w:color="000000" w:sz="4" w:space="0"/>
            </w:tcBorders>
            <w:noWrap w:val="0"/>
            <w:vAlign w:val="center"/>
          </w:tcPr>
          <w:p w14:paraId="47001E78">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1.长度220mm，管体直径φ2.5mm，水滴形控制孔，管体柔性可塑，管体头端缩口，工作长度150mm；</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2.与患者接触部分采用医用不锈钢制造，该材料化学成分符合YY/T 0294.1-2016《外科器械金属材料第1部分：不锈钢》。</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3.器械外表面亚光处理，不得有锋棱、毛刺及明显的碰伤和划痕，其表面粗糙度不大于0.8μmm。</w:t>
            </w:r>
          </w:p>
        </w:tc>
        <w:tc>
          <w:tcPr>
            <w:tcW w:w="197" w:type="pct"/>
            <w:vMerge w:val="continue"/>
            <w:tcBorders>
              <w:left w:val="single" w:color="000000" w:sz="4" w:space="0"/>
              <w:right w:val="single" w:color="000000" w:sz="4" w:space="0"/>
            </w:tcBorders>
            <w:noWrap w:val="0"/>
            <w:vAlign w:val="center"/>
          </w:tcPr>
          <w:p w14:paraId="66A87037">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kern w:val="0"/>
                <w:sz w:val="18"/>
                <w:szCs w:val="18"/>
                <w:highlight w:val="none"/>
                <w:u w:val="none"/>
                <w:lang w:val="en-US" w:eastAsia="zh-CN" w:bidi="ar"/>
              </w:rPr>
            </w:pPr>
          </w:p>
        </w:tc>
        <w:tc>
          <w:tcPr>
            <w:tcW w:w="268" w:type="pct"/>
            <w:vMerge w:val="continue"/>
            <w:tcBorders>
              <w:left w:val="single" w:color="000000" w:sz="4" w:space="0"/>
              <w:right w:val="single" w:color="000000" w:sz="4" w:space="0"/>
            </w:tcBorders>
            <w:noWrap w:val="0"/>
            <w:vAlign w:val="center"/>
          </w:tcPr>
          <w:p w14:paraId="54370F53">
            <w:pPr>
              <w:keepNext w:val="0"/>
              <w:keepLines w:val="0"/>
              <w:pageBreakBefore w:val="0"/>
              <w:kinsoku/>
              <w:wordWrap/>
              <w:overflowPunct/>
              <w:topLinePunct w:val="0"/>
              <w:autoSpaceDE/>
              <w:autoSpaceDN/>
              <w:bidi w:val="0"/>
              <w:adjustRightInd/>
              <w:snapToGrid/>
              <w:spacing w:line="360" w:lineRule="auto"/>
              <w:jc w:val="center"/>
              <w:rPr>
                <w:rFonts w:hint="eastAsia" w:ascii="黑体" w:hAnsi="黑体" w:eastAsia="黑体" w:cs="黑体"/>
                <w:i w:val="0"/>
                <w:iCs w:val="0"/>
                <w:color w:val="000000"/>
                <w:kern w:val="0"/>
                <w:sz w:val="18"/>
                <w:szCs w:val="18"/>
                <w:highlight w:val="none"/>
                <w:u w:val="none"/>
                <w:lang w:val="en-US" w:eastAsia="zh-CN" w:bidi="ar"/>
              </w:rPr>
            </w:pPr>
          </w:p>
        </w:tc>
      </w:tr>
      <w:tr w14:paraId="6C74CB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50" w:hRule="atLeast"/>
        </w:trPr>
        <w:tc>
          <w:tcPr>
            <w:tcW w:w="409" w:type="pct"/>
            <w:vMerge w:val="continue"/>
            <w:tcBorders>
              <w:top w:val="single" w:color="000000" w:sz="4" w:space="0"/>
              <w:left w:val="single" w:color="000000" w:sz="4" w:space="0"/>
              <w:bottom w:val="single" w:color="000000" w:sz="4" w:space="0"/>
              <w:right w:val="single" w:color="000000" w:sz="4" w:space="0"/>
            </w:tcBorders>
            <w:noWrap w:val="0"/>
            <w:vAlign w:val="center"/>
          </w:tcPr>
          <w:p w14:paraId="08C64A29">
            <w:pPr>
              <w:keepNext w:val="0"/>
              <w:keepLines w:val="0"/>
              <w:pageBreakBefore w:val="0"/>
              <w:kinsoku/>
              <w:wordWrap/>
              <w:overflowPunct/>
              <w:topLinePunct w:val="0"/>
              <w:autoSpaceDE/>
              <w:autoSpaceDN/>
              <w:bidi w:val="0"/>
              <w:adjustRightInd/>
              <w:snapToGrid/>
              <w:spacing w:line="360" w:lineRule="auto"/>
              <w:jc w:val="center"/>
              <w:rPr>
                <w:rFonts w:hint="eastAsia" w:ascii="黑体" w:hAnsi="黑体" w:eastAsia="黑体" w:cs="黑体"/>
                <w:b/>
                <w:bCs/>
                <w:i w:val="0"/>
                <w:iCs w:val="0"/>
                <w:color w:val="000000"/>
                <w:sz w:val="18"/>
                <w:szCs w:val="18"/>
                <w:highlight w:val="none"/>
                <w:u w:val="none"/>
              </w:rPr>
            </w:pPr>
          </w:p>
        </w:tc>
        <w:tc>
          <w:tcPr>
            <w:tcW w:w="271" w:type="pct"/>
            <w:vMerge w:val="continue"/>
            <w:tcBorders>
              <w:left w:val="single" w:color="000000" w:sz="4" w:space="0"/>
              <w:right w:val="single" w:color="000000" w:sz="4" w:space="0"/>
            </w:tcBorders>
            <w:noWrap w:val="0"/>
            <w:vAlign w:val="center"/>
          </w:tcPr>
          <w:p w14:paraId="43C6649B">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黑体" w:hAnsi="黑体" w:eastAsia="黑体" w:cs="黑体"/>
                <w:i w:val="0"/>
                <w:iCs w:val="0"/>
                <w:color w:val="000000"/>
                <w:kern w:val="0"/>
                <w:sz w:val="18"/>
                <w:szCs w:val="18"/>
                <w:highlight w:val="none"/>
                <w:u w:val="none"/>
                <w:lang w:val="en-US" w:eastAsia="zh-CN" w:bidi="ar"/>
              </w:rPr>
            </w:pPr>
          </w:p>
        </w:tc>
        <w:tc>
          <w:tcPr>
            <w:tcW w:w="3853" w:type="pct"/>
            <w:tcBorders>
              <w:top w:val="single" w:color="000000" w:sz="4" w:space="0"/>
              <w:left w:val="single" w:color="000000" w:sz="4" w:space="0"/>
              <w:bottom w:val="single" w:color="000000" w:sz="4" w:space="0"/>
              <w:right w:val="single" w:color="000000" w:sz="4" w:space="0"/>
            </w:tcBorders>
            <w:noWrap w:val="0"/>
            <w:vAlign w:val="center"/>
          </w:tcPr>
          <w:p w14:paraId="18C3FB76">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1.长度220mm，管体直径φ3mm，水滴形控制孔，管体柔性可塑，管体头端缩口，工作长度150mm；</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2.与患者接触部分采用医用不锈钢制造，该材料化学成分符合YY/T 0294.1-2016《外科器械金属材料第1部分：不锈钢》。</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3.器械外表面亚光处理，不得有锋棱、毛刺及明显的碰伤和划痕，其表面粗糙度不大于0.8μmm。</w:t>
            </w:r>
          </w:p>
        </w:tc>
        <w:tc>
          <w:tcPr>
            <w:tcW w:w="197" w:type="pct"/>
            <w:vMerge w:val="continue"/>
            <w:tcBorders>
              <w:left w:val="single" w:color="000000" w:sz="4" w:space="0"/>
              <w:right w:val="single" w:color="000000" w:sz="4" w:space="0"/>
            </w:tcBorders>
            <w:noWrap w:val="0"/>
            <w:vAlign w:val="center"/>
          </w:tcPr>
          <w:p w14:paraId="57533C5C">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kern w:val="0"/>
                <w:sz w:val="18"/>
                <w:szCs w:val="18"/>
                <w:highlight w:val="none"/>
                <w:u w:val="none"/>
                <w:lang w:val="en-US" w:eastAsia="zh-CN" w:bidi="ar"/>
              </w:rPr>
            </w:pPr>
          </w:p>
        </w:tc>
        <w:tc>
          <w:tcPr>
            <w:tcW w:w="268" w:type="pct"/>
            <w:vMerge w:val="continue"/>
            <w:tcBorders>
              <w:left w:val="single" w:color="000000" w:sz="4" w:space="0"/>
              <w:right w:val="single" w:color="000000" w:sz="4" w:space="0"/>
            </w:tcBorders>
            <w:noWrap w:val="0"/>
            <w:vAlign w:val="center"/>
          </w:tcPr>
          <w:p w14:paraId="4207A28F">
            <w:pPr>
              <w:keepNext w:val="0"/>
              <w:keepLines w:val="0"/>
              <w:pageBreakBefore w:val="0"/>
              <w:kinsoku/>
              <w:wordWrap/>
              <w:overflowPunct/>
              <w:topLinePunct w:val="0"/>
              <w:autoSpaceDE/>
              <w:autoSpaceDN/>
              <w:bidi w:val="0"/>
              <w:adjustRightInd/>
              <w:snapToGrid/>
              <w:spacing w:line="360" w:lineRule="auto"/>
              <w:jc w:val="center"/>
              <w:rPr>
                <w:rFonts w:hint="eastAsia" w:ascii="黑体" w:hAnsi="黑体" w:eastAsia="黑体" w:cs="黑体"/>
                <w:i w:val="0"/>
                <w:iCs w:val="0"/>
                <w:color w:val="000000"/>
                <w:kern w:val="0"/>
                <w:sz w:val="18"/>
                <w:szCs w:val="18"/>
                <w:highlight w:val="none"/>
                <w:u w:val="none"/>
                <w:lang w:val="en-US" w:eastAsia="zh-CN" w:bidi="ar"/>
              </w:rPr>
            </w:pPr>
          </w:p>
        </w:tc>
      </w:tr>
      <w:tr w14:paraId="79B584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50" w:hRule="atLeast"/>
        </w:trPr>
        <w:tc>
          <w:tcPr>
            <w:tcW w:w="409" w:type="pct"/>
            <w:vMerge w:val="continue"/>
            <w:tcBorders>
              <w:top w:val="single" w:color="000000" w:sz="4" w:space="0"/>
              <w:left w:val="single" w:color="000000" w:sz="4" w:space="0"/>
              <w:bottom w:val="single" w:color="000000" w:sz="4" w:space="0"/>
              <w:right w:val="single" w:color="000000" w:sz="4" w:space="0"/>
            </w:tcBorders>
            <w:noWrap w:val="0"/>
            <w:vAlign w:val="center"/>
          </w:tcPr>
          <w:p w14:paraId="3BAC64F8">
            <w:pPr>
              <w:keepNext w:val="0"/>
              <w:keepLines w:val="0"/>
              <w:pageBreakBefore w:val="0"/>
              <w:kinsoku/>
              <w:wordWrap/>
              <w:overflowPunct/>
              <w:topLinePunct w:val="0"/>
              <w:autoSpaceDE/>
              <w:autoSpaceDN/>
              <w:bidi w:val="0"/>
              <w:adjustRightInd/>
              <w:snapToGrid/>
              <w:spacing w:line="360" w:lineRule="auto"/>
              <w:jc w:val="center"/>
              <w:rPr>
                <w:rFonts w:hint="eastAsia" w:ascii="黑体" w:hAnsi="黑体" w:eastAsia="黑体" w:cs="黑体"/>
                <w:b/>
                <w:bCs/>
                <w:i w:val="0"/>
                <w:iCs w:val="0"/>
                <w:color w:val="000000"/>
                <w:sz w:val="18"/>
                <w:szCs w:val="18"/>
                <w:highlight w:val="none"/>
                <w:u w:val="none"/>
              </w:rPr>
            </w:pPr>
          </w:p>
        </w:tc>
        <w:tc>
          <w:tcPr>
            <w:tcW w:w="271" w:type="pct"/>
            <w:vMerge w:val="continue"/>
            <w:tcBorders>
              <w:left w:val="single" w:color="000000" w:sz="4" w:space="0"/>
              <w:right w:val="single" w:color="000000" w:sz="4" w:space="0"/>
            </w:tcBorders>
            <w:noWrap w:val="0"/>
            <w:vAlign w:val="center"/>
          </w:tcPr>
          <w:p w14:paraId="4EAB0243">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黑体" w:hAnsi="黑体" w:eastAsia="黑体" w:cs="黑体"/>
                <w:i w:val="0"/>
                <w:iCs w:val="0"/>
                <w:color w:val="000000"/>
                <w:kern w:val="0"/>
                <w:sz w:val="18"/>
                <w:szCs w:val="18"/>
                <w:highlight w:val="none"/>
                <w:u w:val="none"/>
                <w:lang w:val="en-US" w:eastAsia="zh-CN" w:bidi="ar"/>
              </w:rPr>
            </w:pPr>
          </w:p>
        </w:tc>
        <w:tc>
          <w:tcPr>
            <w:tcW w:w="3853" w:type="pct"/>
            <w:tcBorders>
              <w:top w:val="single" w:color="000000" w:sz="4" w:space="0"/>
              <w:left w:val="single" w:color="000000" w:sz="4" w:space="0"/>
              <w:bottom w:val="single" w:color="000000" w:sz="4" w:space="0"/>
              <w:right w:val="single" w:color="000000" w:sz="4" w:space="0"/>
            </w:tcBorders>
            <w:noWrap w:val="0"/>
            <w:vAlign w:val="center"/>
          </w:tcPr>
          <w:p w14:paraId="5EE97F37">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1.长度220mm，管体直径φ3.5mm，水滴形控制孔，管体柔性可塑，管体头端缩口，工作长度150mm；</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2.与患者接触部分采用医用不锈钢制造，该材料化学成分符合YY/T 0294.1-2016《外科器械金属材料第1部分：不锈钢》。</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3.器械外表面亚光处理，不得有锋棱、毛刺及明显的碰伤和划痕，其表面粗糙度不大于0.8μmm。</w:t>
            </w:r>
          </w:p>
        </w:tc>
        <w:tc>
          <w:tcPr>
            <w:tcW w:w="197" w:type="pct"/>
            <w:vMerge w:val="continue"/>
            <w:tcBorders>
              <w:left w:val="single" w:color="000000" w:sz="4" w:space="0"/>
              <w:right w:val="single" w:color="000000" w:sz="4" w:space="0"/>
            </w:tcBorders>
            <w:noWrap w:val="0"/>
            <w:vAlign w:val="center"/>
          </w:tcPr>
          <w:p w14:paraId="78F2F788">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kern w:val="0"/>
                <w:sz w:val="18"/>
                <w:szCs w:val="18"/>
                <w:highlight w:val="none"/>
                <w:u w:val="none"/>
                <w:lang w:val="en-US" w:eastAsia="zh-CN" w:bidi="ar"/>
              </w:rPr>
            </w:pPr>
          </w:p>
        </w:tc>
        <w:tc>
          <w:tcPr>
            <w:tcW w:w="268" w:type="pct"/>
            <w:vMerge w:val="continue"/>
            <w:tcBorders>
              <w:left w:val="single" w:color="000000" w:sz="4" w:space="0"/>
              <w:right w:val="single" w:color="000000" w:sz="4" w:space="0"/>
            </w:tcBorders>
            <w:noWrap w:val="0"/>
            <w:vAlign w:val="center"/>
          </w:tcPr>
          <w:p w14:paraId="1136C130">
            <w:pPr>
              <w:keepNext w:val="0"/>
              <w:keepLines w:val="0"/>
              <w:pageBreakBefore w:val="0"/>
              <w:kinsoku/>
              <w:wordWrap/>
              <w:overflowPunct/>
              <w:topLinePunct w:val="0"/>
              <w:autoSpaceDE/>
              <w:autoSpaceDN/>
              <w:bidi w:val="0"/>
              <w:adjustRightInd/>
              <w:snapToGrid/>
              <w:spacing w:line="360" w:lineRule="auto"/>
              <w:jc w:val="center"/>
              <w:rPr>
                <w:rFonts w:hint="eastAsia" w:ascii="黑体" w:hAnsi="黑体" w:eastAsia="黑体" w:cs="黑体"/>
                <w:i w:val="0"/>
                <w:iCs w:val="0"/>
                <w:color w:val="000000"/>
                <w:kern w:val="0"/>
                <w:sz w:val="18"/>
                <w:szCs w:val="18"/>
                <w:highlight w:val="none"/>
                <w:u w:val="none"/>
                <w:lang w:val="en-US" w:eastAsia="zh-CN" w:bidi="ar"/>
              </w:rPr>
            </w:pPr>
          </w:p>
        </w:tc>
      </w:tr>
      <w:tr w14:paraId="13B3D0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50" w:hRule="atLeast"/>
        </w:trPr>
        <w:tc>
          <w:tcPr>
            <w:tcW w:w="409" w:type="pct"/>
            <w:vMerge w:val="continue"/>
            <w:tcBorders>
              <w:top w:val="single" w:color="000000" w:sz="4" w:space="0"/>
              <w:left w:val="single" w:color="000000" w:sz="4" w:space="0"/>
              <w:bottom w:val="single" w:color="000000" w:sz="4" w:space="0"/>
              <w:right w:val="single" w:color="000000" w:sz="4" w:space="0"/>
            </w:tcBorders>
            <w:noWrap w:val="0"/>
            <w:vAlign w:val="center"/>
          </w:tcPr>
          <w:p w14:paraId="460430E9">
            <w:pPr>
              <w:keepNext w:val="0"/>
              <w:keepLines w:val="0"/>
              <w:pageBreakBefore w:val="0"/>
              <w:kinsoku/>
              <w:wordWrap/>
              <w:overflowPunct/>
              <w:topLinePunct w:val="0"/>
              <w:autoSpaceDE/>
              <w:autoSpaceDN/>
              <w:bidi w:val="0"/>
              <w:adjustRightInd/>
              <w:snapToGrid/>
              <w:spacing w:line="360" w:lineRule="auto"/>
              <w:jc w:val="center"/>
              <w:rPr>
                <w:rFonts w:hint="eastAsia" w:ascii="黑体" w:hAnsi="黑体" w:eastAsia="黑体" w:cs="黑体"/>
                <w:b/>
                <w:bCs/>
                <w:i w:val="0"/>
                <w:iCs w:val="0"/>
                <w:color w:val="000000"/>
                <w:sz w:val="18"/>
                <w:szCs w:val="18"/>
                <w:highlight w:val="none"/>
                <w:u w:val="none"/>
              </w:rPr>
            </w:pPr>
          </w:p>
        </w:tc>
        <w:tc>
          <w:tcPr>
            <w:tcW w:w="271" w:type="pct"/>
            <w:vMerge w:val="continue"/>
            <w:tcBorders>
              <w:left w:val="single" w:color="000000" w:sz="4" w:space="0"/>
              <w:right w:val="single" w:color="000000" w:sz="4" w:space="0"/>
            </w:tcBorders>
            <w:noWrap w:val="0"/>
            <w:vAlign w:val="center"/>
          </w:tcPr>
          <w:p w14:paraId="632F5678">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黑体" w:hAnsi="黑体" w:eastAsia="黑体" w:cs="黑体"/>
                <w:i w:val="0"/>
                <w:iCs w:val="0"/>
                <w:color w:val="000000"/>
                <w:kern w:val="0"/>
                <w:sz w:val="18"/>
                <w:szCs w:val="18"/>
                <w:highlight w:val="none"/>
                <w:u w:val="none"/>
                <w:lang w:val="en-US" w:eastAsia="zh-CN" w:bidi="ar"/>
              </w:rPr>
            </w:pPr>
          </w:p>
        </w:tc>
        <w:tc>
          <w:tcPr>
            <w:tcW w:w="3853" w:type="pct"/>
            <w:tcBorders>
              <w:top w:val="single" w:color="000000" w:sz="4" w:space="0"/>
              <w:left w:val="single" w:color="000000" w:sz="4" w:space="0"/>
              <w:bottom w:val="single" w:color="000000" w:sz="4" w:space="0"/>
              <w:right w:val="single" w:color="000000" w:sz="4" w:space="0"/>
            </w:tcBorders>
            <w:noWrap w:val="0"/>
            <w:vAlign w:val="center"/>
          </w:tcPr>
          <w:p w14:paraId="695622D5">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1.长度240mm，管体直径φ2mm，平板控制片，圆形控制孔，戴套，管体柔性可塑；</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2.与患者接触部分采用医用不锈钢制造，该材料化学成分符合YY/T 0294.1-2016《外科器械金属材料第1部分：不锈钢》。</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3.器械外表面亚光处理，不得有锋棱、毛刺及明显的碰伤和划痕，其表面粗糙度不大于0.8μmm。</w:t>
            </w:r>
          </w:p>
        </w:tc>
        <w:tc>
          <w:tcPr>
            <w:tcW w:w="197" w:type="pct"/>
            <w:vMerge w:val="continue"/>
            <w:tcBorders>
              <w:left w:val="single" w:color="000000" w:sz="4" w:space="0"/>
              <w:right w:val="single" w:color="000000" w:sz="4" w:space="0"/>
            </w:tcBorders>
            <w:noWrap w:val="0"/>
            <w:vAlign w:val="center"/>
          </w:tcPr>
          <w:p w14:paraId="4082C357">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kern w:val="0"/>
                <w:sz w:val="18"/>
                <w:szCs w:val="18"/>
                <w:highlight w:val="none"/>
                <w:u w:val="none"/>
                <w:lang w:val="en-US" w:eastAsia="zh-CN" w:bidi="ar"/>
              </w:rPr>
            </w:pPr>
          </w:p>
        </w:tc>
        <w:tc>
          <w:tcPr>
            <w:tcW w:w="268" w:type="pct"/>
            <w:vMerge w:val="continue"/>
            <w:tcBorders>
              <w:left w:val="single" w:color="000000" w:sz="4" w:space="0"/>
              <w:right w:val="single" w:color="000000" w:sz="4" w:space="0"/>
            </w:tcBorders>
            <w:noWrap w:val="0"/>
            <w:vAlign w:val="center"/>
          </w:tcPr>
          <w:p w14:paraId="6DC79589">
            <w:pPr>
              <w:keepNext w:val="0"/>
              <w:keepLines w:val="0"/>
              <w:pageBreakBefore w:val="0"/>
              <w:kinsoku/>
              <w:wordWrap/>
              <w:overflowPunct/>
              <w:topLinePunct w:val="0"/>
              <w:autoSpaceDE/>
              <w:autoSpaceDN/>
              <w:bidi w:val="0"/>
              <w:adjustRightInd/>
              <w:snapToGrid/>
              <w:spacing w:line="360" w:lineRule="auto"/>
              <w:jc w:val="center"/>
              <w:rPr>
                <w:rFonts w:hint="eastAsia" w:ascii="黑体" w:hAnsi="黑体" w:eastAsia="黑体" w:cs="黑体"/>
                <w:i w:val="0"/>
                <w:iCs w:val="0"/>
                <w:color w:val="000000"/>
                <w:kern w:val="0"/>
                <w:sz w:val="18"/>
                <w:szCs w:val="18"/>
                <w:highlight w:val="none"/>
                <w:u w:val="none"/>
                <w:lang w:val="en-US" w:eastAsia="zh-CN" w:bidi="ar"/>
              </w:rPr>
            </w:pPr>
          </w:p>
        </w:tc>
      </w:tr>
      <w:tr w14:paraId="1E2E73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50" w:hRule="atLeast"/>
        </w:trPr>
        <w:tc>
          <w:tcPr>
            <w:tcW w:w="409" w:type="pct"/>
            <w:vMerge w:val="continue"/>
            <w:tcBorders>
              <w:top w:val="single" w:color="000000" w:sz="4" w:space="0"/>
              <w:left w:val="single" w:color="000000" w:sz="4" w:space="0"/>
              <w:bottom w:val="single" w:color="000000" w:sz="4" w:space="0"/>
              <w:right w:val="single" w:color="000000" w:sz="4" w:space="0"/>
            </w:tcBorders>
            <w:noWrap w:val="0"/>
            <w:vAlign w:val="center"/>
          </w:tcPr>
          <w:p w14:paraId="23E3FB88">
            <w:pPr>
              <w:keepNext w:val="0"/>
              <w:keepLines w:val="0"/>
              <w:pageBreakBefore w:val="0"/>
              <w:kinsoku/>
              <w:wordWrap/>
              <w:overflowPunct/>
              <w:topLinePunct w:val="0"/>
              <w:autoSpaceDE/>
              <w:autoSpaceDN/>
              <w:bidi w:val="0"/>
              <w:adjustRightInd/>
              <w:snapToGrid/>
              <w:spacing w:line="360" w:lineRule="auto"/>
              <w:jc w:val="center"/>
              <w:rPr>
                <w:rFonts w:hint="eastAsia" w:ascii="黑体" w:hAnsi="黑体" w:eastAsia="黑体" w:cs="黑体"/>
                <w:b/>
                <w:bCs/>
                <w:i w:val="0"/>
                <w:iCs w:val="0"/>
                <w:color w:val="000000"/>
                <w:sz w:val="18"/>
                <w:szCs w:val="18"/>
                <w:highlight w:val="none"/>
                <w:u w:val="none"/>
              </w:rPr>
            </w:pPr>
          </w:p>
        </w:tc>
        <w:tc>
          <w:tcPr>
            <w:tcW w:w="271" w:type="pct"/>
            <w:vMerge w:val="continue"/>
            <w:tcBorders>
              <w:left w:val="single" w:color="000000" w:sz="4" w:space="0"/>
              <w:right w:val="single" w:color="000000" w:sz="4" w:space="0"/>
            </w:tcBorders>
            <w:noWrap w:val="0"/>
            <w:vAlign w:val="center"/>
          </w:tcPr>
          <w:p w14:paraId="44AEFCC9">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黑体" w:hAnsi="黑体" w:eastAsia="黑体" w:cs="黑体"/>
                <w:i w:val="0"/>
                <w:iCs w:val="0"/>
                <w:color w:val="000000"/>
                <w:kern w:val="0"/>
                <w:sz w:val="18"/>
                <w:szCs w:val="18"/>
                <w:highlight w:val="none"/>
                <w:u w:val="none"/>
                <w:lang w:val="en-US" w:eastAsia="zh-CN" w:bidi="ar"/>
              </w:rPr>
            </w:pPr>
          </w:p>
        </w:tc>
        <w:tc>
          <w:tcPr>
            <w:tcW w:w="3853" w:type="pct"/>
            <w:tcBorders>
              <w:top w:val="single" w:color="000000" w:sz="4" w:space="0"/>
              <w:left w:val="single" w:color="000000" w:sz="4" w:space="0"/>
              <w:bottom w:val="single" w:color="000000" w:sz="4" w:space="0"/>
              <w:right w:val="single" w:color="000000" w:sz="4" w:space="0"/>
            </w:tcBorders>
            <w:noWrap w:val="0"/>
            <w:vAlign w:val="center"/>
          </w:tcPr>
          <w:p w14:paraId="64F4424E">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1.长度240mm，管体直径φ2.5mm，平板控制片，圆形控制孔，戴套，管体柔性可塑；</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2.与患者接触部分采用医用不锈钢制造，该材料化学成分符合YY/T 0294.1-2016《外科器械金属材料第1部分：不锈钢》。</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3.器械外表面亚光处理，不得有锋棱、毛刺及明显的碰伤和划痕，其表面粗糙度不大于0.8μmm。</w:t>
            </w:r>
          </w:p>
        </w:tc>
        <w:tc>
          <w:tcPr>
            <w:tcW w:w="197" w:type="pct"/>
            <w:vMerge w:val="continue"/>
            <w:tcBorders>
              <w:left w:val="single" w:color="000000" w:sz="4" w:space="0"/>
              <w:right w:val="single" w:color="000000" w:sz="4" w:space="0"/>
            </w:tcBorders>
            <w:noWrap w:val="0"/>
            <w:vAlign w:val="center"/>
          </w:tcPr>
          <w:p w14:paraId="0D37704D">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kern w:val="0"/>
                <w:sz w:val="18"/>
                <w:szCs w:val="18"/>
                <w:highlight w:val="none"/>
                <w:u w:val="none"/>
                <w:lang w:val="en-US" w:eastAsia="zh-CN" w:bidi="ar"/>
              </w:rPr>
            </w:pPr>
          </w:p>
        </w:tc>
        <w:tc>
          <w:tcPr>
            <w:tcW w:w="268" w:type="pct"/>
            <w:vMerge w:val="continue"/>
            <w:tcBorders>
              <w:left w:val="single" w:color="000000" w:sz="4" w:space="0"/>
              <w:right w:val="single" w:color="000000" w:sz="4" w:space="0"/>
            </w:tcBorders>
            <w:noWrap w:val="0"/>
            <w:vAlign w:val="center"/>
          </w:tcPr>
          <w:p w14:paraId="7052DDFA">
            <w:pPr>
              <w:keepNext w:val="0"/>
              <w:keepLines w:val="0"/>
              <w:pageBreakBefore w:val="0"/>
              <w:kinsoku/>
              <w:wordWrap/>
              <w:overflowPunct/>
              <w:topLinePunct w:val="0"/>
              <w:autoSpaceDE/>
              <w:autoSpaceDN/>
              <w:bidi w:val="0"/>
              <w:adjustRightInd/>
              <w:snapToGrid/>
              <w:spacing w:line="360" w:lineRule="auto"/>
              <w:jc w:val="center"/>
              <w:rPr>
                <w:rFonts w:hint="eastAsia" w:ascii="黑体" w:hAnsi="黑体" w:eastAsia="黑体" w:cs="黑体"/>
                <w:i w:val="0"/>
                <w:iCs w:val="0"/>
                <w:color w:val="000000"/>
                <w:kern w:val="0"/>
                <w:sz w:val="18"/>
                <w:szCs w:val="18"/>
                <w:highlight w:val="none"/>
                <w:u w:val="none"/>
                <w:lang w:val="en-US" w:eastAsia="zh-CN" w:bidi="ar"/>
              </w:rPr>
            </w:pPr>
          </w:p>
        </w:tc>
      </w:tr>
      <w:tr w14:paraId="60AF3B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50" w:hRule="atLeast"/>
        </w:trPr>
        <w:tc>
          <w:tcPr>
            <w:tcW w:w="409" w:type="pct"/>
            <w:vMerge w:val="continue"/>
            <w:tcBorders>
              <w:top w:val="single" w:color="000000" w:sz="4" w:space="0"/>
              <w:left w:val="single" w:color="000000" w:sz="4" w:space="0"/>
              <w:bottom w:val="single" w:color="000000" w:sz="4" w:space="0"/>
              <w:right w:val="single" w:color="000000" w:sz="4" w:space="0"/>
            </w:tcBorders>
            <w:noWrap w:val="0"/>
            <w:vAlign w:val="center"/>
          </w:tcPr>
          <w:p w14:paraId="0EFB227D">
            <w:pPr>
              <w:keepNext w:val="0"/>
              <w:keepLines w:val="0"/>
              <w:pageBreakBefore w:val="0"/>
              <w:kinsoku/>
              <w:wordWrap/>
              <w:overflowPunct/>
              <w:topLinePunct w:val="0"/>
              <w:autoSpaceDE/>
              <w:autoSpaceDN/>
              <w:bidi w:val="0"/>
              <w:adjustRightInd/>
              <w:snapToGrid/>
              <w:spacing w:line="360" w:lineRule="auto"/>
              <w:jc w:val="center"/>
              <w:rPr>
                <w:rFonts w:hint="eastAsia" w:ascii="黑体" w:hAnsi="黑体" w:eastAsia="黑体" w:cs="黑体"/>
                <w:b/>
                <w:bCs/>
                <w:i w:val="0"/>
                <w:iCs w:val="0"/>
                <w:color w:val="000000"/>
                <w:sz w:val="18"/>
                <w:szCs w:val="18"/>
                <w:highlight w:val="none"/>
                <w:u w:val="none"/>
              </w:rPr>
            </w:pPr>
          </w:p>
        </w:tc>
        <w:tc>
          <w:tcPr>
            <w:tcW w:w="271" w:type="pct"/>
            <w:vMerge w:val="continue"/>
            <w:tcBorders>
              <w:left w:val="single" w:color="000000" w:sz="4" w:space="0"/>
              <w:right w:val="single" w:color="000000" w:sz="4" w:space="0"/>
            </w:tcBorders>
            <w:noWrap w:val="0"/>
            <w:vAlign w:val="center"/>
          </w:tcPr>
          <w:p w14:paraId="64005670">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黑体" w:hAnsi="黑体" w:eastAsia="黑体" w:cs="黑体"/>
                <w:i w:val="0"/>
                <w:iCs w:val="0"/>
                <w:color w:val="000000"/>
                <w:kern w:val="0"/>
                <w:sz w:val="18"/>
                <w:szCs w:val="18"/>
                <w:highlight w:val="none"/>
                <w:u w:val="none"/>
                <w:lang w:val="en-US" w:eastAsia="zh-CN" w:bidi="ar"/>
              </w:rPr>
            </w:pPr>
          </w:p>
        </w:tc>
        <w:tc>
          <w:tcPr>
            <w:tcW w:w="3853" w:type="pct"/>
            <w:tcBorders>
              <w:top w:val="single" w:color="000000" w:sz="4" w:space="0"/>
              <w:left w:val="single" w:color="000000" w:sz="4" w:space="0"/>
              <w:bottom w:val="single" w:color="000000" w:sz="4" w:space="0"/>
              <w:right w:val="single" w:color="000000" w:sz="4" w:space="0"/>
            </w:tcBorders>
            <w:noWrap w:val="0"/>
            <w:vAlign w:val="center"/>
          </w:tcPr>
          <w:p w14:paraId="62EB3AF0">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1.长度240mm，管体直径φ3mm，平板控制片，圆形控制孔，戴套，管体柔性可塑；</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2.与患者接触部分采用医用不锈钢制造，该材料化学成分符合YY/T 0294.1-2016《外科器械金属材料第1部分：不锈钢》。</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3.器械外表面亚光处理，不得有锋棱、毛刺及明显的碰伤和划痕，其表面粗糙度不大于0.8μmm。</w:t>
            </w:r>
          </w:p>
        </w:tc>
        <w:tc>
          <w:tcPr>
            <w:tcW w:w="197" w:type="pct"/>
            <w:vMerge w:val="continue"/>
            <w:tcBorders>
              <w:left w:val="single" w:color="000000" w:sz="4" w:space="0"/>
              <w:right w:val="single" w:color="000000" w:sz="4" w:space="0"/>
            </w:tcBorders>
            <w:noWrap w:val="0"/>
            <w:vAlign w:val="center"/>
          </w:tcPr>
          <w:p w14:paraId="44A3BBC7">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kern w:val="0"/>
                <w:sz w:val="18"/>
                <w:szCs w:val="18"/>
                <w:highlight w:val="none"/>
                <w:u w:val="none"/>
                <w:lang w:val="en-US" w:eastAsia="zh-CN" w:bidi="ar"/>
              </w:rPr>
            </w:pPr>
          </w:p>
        </w:tc>
        <w:tc>
          <w:tcPr>
            <w:tcW w:w="268" w:type="pct"/>
            <w:vMerge w:val="continue"/>
            <w:tcBorders>
              <w:left w:val="single" w:color="000000" w:sz="4" w:space="0"/>
              <w:right w:val="single" w:color="000000" w:sz="4" w:space="0"/>
            </w:tcBorders>
            <w:noWrap w:val="0"/>
            <w:vAlign w:val="center"/>
          </w:tcPr>
          <w:p w14:paraId="1AA741CA">
            <w:pPr>
              <w:keepNext w:val="0"/>
              <w:keepLines w:val="0"/>
              <w:pageBreakBefore w:val="0"/>
              <w:kinsoku/>
              <w:wordWrap/>
              <w:overflowPunct/>
              <w:topLinePunct w:val="0"/>
              <w:autoSpaceDE/>
              <w:autoSpaceDN/>
              <w:bidi w:val="0"/>
              <w:adjustRightInd/>
              <w:snapToGrid/>
              <w:spacing w:line="360" w:lineRule="auto"/>
              <w:jc w:val="center"/>
              <w:rPr>
                <w:rFonts w:hint="eastAsia" w:ascii="黑体" w:hAnsi="黑体" w:eastAsia="黑体" w:cs="黑体"/>
                <w:i w:val="0"/>
                <w:iCs w:val="0"/>
                <w:color w:val="000000"/>
                <w:kern w:val="0"/>
                <w:sz w:val="18"/>
                <w:szCs w:val="18"/>
                <w:highlight w:val="none"/>
                <w:u w:val="none"/>
                <w:lang w:val="en-US" w:eastAsia="zh-CN" w:bidi="ar"/>
              </w:rPr>
            </w:pPr>
          </w:p>
        </w:tc>
      </w:tr>
      <w:tr w14:paraId="472B10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50" w:hRule="atLeast"/>
        </w:trPr>
        <w:tc>
          <w:tcPr>
            <w:tcW w:w="409" w:type="pct"/>
            <w:vMerge w:val="continue"/>
            <w:tcBorders>
              <w:top w:val="single" w:color="000000" w:sz="4" w:space="0"/>
              <w:left w:val="single" w:color="000000" w:sz="4" w:space="0"/>
              <w:bottom w:val="single" w:color="000000" w:sz="4" w:space="0"/>
              <w:right w:val="single" w:color="000000" w:sz="4" w:space="0"/>
            </w:tcBorders>
            <w:noWrap w:val="0"/>
            <w:vAlign w:val="center"/>
          </w:tcPr>
          <w:p w14:paraId="3D2B3560">
            <w:pPr>
              <w:keepNext w:val="0"/>
              <w:keepLines w:val="0"/>
              <w:pageBreakBefore w:val="0"/>
              <w:kinsoku/>
              <w:wordWrap/>
              <w:overflowPunct/>
              <w:topLinePunct w:val="0"/>
              <w:autoSpaceDE/>
              <w:autoSpaceDN/>
              <w:bidi w:val="0"/>
              <w:adjustRightInd/>
              <w:snapToGrid/>
              <w:spacing w:line="360" w:lineRule="auto"/>
              <w:jc w:val="center"/>
              <w:rPr>
                <w:rFonts w:hint="eastAsia" w:ascii="黑体" w:hAnsi="黑体" w:eastAsia="黑体" w:cs="黑体"/>
                <w:b/>
                <w:bCs/>
                <w:i w:val="0"/>
                <w:iCs w:val="0"/>
                <w:color w:val="000000"/>
                <w:sz w:val="18"/>
                <w:szCs w:val="18"/>
                <w:highlight w:val="none"/>
                <w:u w:val="none"/>
              </w:rPr>
            </w:pPr>
          </w:p>
        </w:tc>
        <w:tc>
          <w:tcPr>
            <w:tcW w:w="271" w:type="pct"/>
            <w:vMerge w:val="continue"/>
            <w:tcBorders>
              <w:left w:val="single" w:color="000000" w:sz="4" w:space="0"/>
              <w:bottom w:val="single" w:color="000000" w:sz="4" w:space="0"/>
              <w:right w:val="single" w:color="000000" w:sz="4" w:space="0"/>
            </w:tcBorders>
            <w:noWrap w:val="0"/>
            <w:vAlign w:val="center"/>
          </w:tcPr>
          <w:p w14:paraId="4B77AAF0">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黑体" w:hAnsi="黑体" w:eastAsia="黑体" w:cs="黑体"/>
                <w:i w:val="0"/>
                <w:iCs w:val="0"/>
                <w:color w:val="000000"/>
                <w:kern w:val="0"/>
                <w:sz w:val="18"/>
                <w:szCs w:val="18"/>
                <w:highlight w:val="none"/>
                <w:u w:val="none"/>
                <w:lang w:val="en-US" w:eastAsia="zh-CN" w:bidi="ar"/>
              </w:rPr>
            </w:pPr>
          </w:p>
        </w:tc>
        <w:tc>
          <w:tcPr>
            <w:tcW w:w="3853" w:type="pct"/>
            <w:tcBorders>
              <w:top w:val="single" w:color="000000" w:sz="4" w:space="0"/>
              <w:left w:val="single" w:color="000000" w:sz="4" w:space="0"/>
              <w:bottom w:val="single" w:color="000000" w:sz="4" w:space="0"/>
              <w:right w:val="single" w:color="000000" w:sz="4" w:space="0"/>
            </w:tcBorders>
            <w:noWrap w:val="0"/>
            <w:vAlign w:val="center"/>
          </w:tcPr>
          <w:p w14:paraId="466C87E3">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1.长度240mm，管体直径φ3.5mm，平板控制片，圆形控制孔，戴套，管体柔性可塑；</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2.与患者接触部分采用医用不锈钢制造，该材料化学成分符合YY/T 0294.1-2016《外科器械金属材料第1部分：不锈钢》。</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3.器械外表面亚光处理，不得有锋棱、毛刺及明显的碰伤和划痕，其表面粗糙度不大于0.8μmm。</w:t>
            </w:r>
          </w:p>
        </w:tc>
        <w:tc>
          <w:tcPr>
            <w:tcW w:w="197" w:type="pct"/>
            <w:vMerge w:val="continue"/>
            <w:tcBorders>
              <w:left w:val="single" w:color="000000" w:sz="4" w:space="0"/>
              <w:bottom w:val="single" w:color="000000" w:sz="4" w:space="0"/>
              <w:right w:val="single" w:color="000000" w:sz="4" w:space="0"/>
            </w:tcBorders>
            <w:noWrap w:val="0"/>
            <w:vAlign w:val="center"/>
          </w:tcPr>
          <w:p w14:paraId="0D6FA70E">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kern w:val="0"/>
                <w:sz w:val="18"/>
                <w:szCs w:val="18"/>
                <w:highlight w:val="none"/>
                <w:u w:val="none"/>
                <w:lang w:val="en-US" w:eastAsia="zh-CN" w:bidi="ar"/>
              </w:rPr>
            </w:pPr>
          </w:p>
        </w:tc>
        <w:tc>
          <w:tcPr>
            <w:tcW w:w="268" w:type="pct"/>
            <w:vMerge w:val="continue"/>
            <w:tcBorders>
              <w:left w:val="single" w:color="000000" w:sz="4" w:space="0"/>
              <w:bottom w:val="single" w:color="000000" w:sz="4" w:space="0"/>
              <w:right w:val="single" w:color="000000" w:sz="4" w:space="0"/>
            </w:tcBorders>
            <w:noWrap w:val="0"/>
            <w:vAlign w:val="center"/>
          </w:tcPr>
          <w:p w14:paraId="6AA3DC72">
            <w:pPr>
              <w:keepNext w:val="0"/>
              <w:keepLines w:val="0"/>
              <w:pageBreakBefore w:val="0"/>
              <w:kinsoku/>
              <w:wordWrap/>
              <w:overflowPunct/>
              <w:topLinePunct w:val="0"/>
              <w:autoSpaceDE/>
              <w:autoSpaceDN/>
              <w:bidi w:val="0"/>
              <w:adjustRightInd/>
              <w:snapToGrid/>
              <w:spacing w:line="360" w:lineRule="auto"/>
              <w:jc w:val="center"/>
              <w:rPr>
                <w:rFonts w:hint="eastAsia" w:ascii="黑体" w:hAnsi="黑体" w:eastAsia="黑体" w:cs="黑体"/>
                <w:i w:val="0"/>
                <w:iCs w:val="0"/>
                <w:color w:val="000000"/>
                <w:kern w:val="0"/>
                <w:sz w:val="18"/>
                <w:szCs w:val="18"/>
                <w:highlight w:val="none"/>
                <w:u w:val="none"/>
                <w:lang w:val="en-US" w:eastAsia="zh-CN" w:bidi="ar"/>
              </w:rPr>
            </w:pPr>
          </w:p>
        </w:tc>
      </w:tr>
      <w:tr w14:paraId="397252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09" w:type="pct"/>
            <w:vMerge w:val="continue"/>
            <w:tcBorders>
              <w:top w:val="single" w:color="000000" w:sz="4" w:space="0"/>
              <w:left w:val="single" w:color="000000" w:sz="4" w:space="0"/>
              <w:bottom w:val="single" w:color="000000" w:sz="4" w:space="0"/>
              <w:right w:val="single" w:color="000000" w:sz="4" w:space="0"/>
            </w:tcBorders>
            <w:noWrap w:val="0"/>
            <w:vAlign w:val="center"/>
          </w:tcPr>
          <w:p w14:paraId="56403A32">
            <w:pPr>
              <w:keepNext w:val="0"/>
              <w:keepLines w:val="0"/>
              <w:pageBreakBefore w:val="0"/>
              <w:kinsoku/>
              <w:wordWrap/>
              <w:overflowPunct/>
              <w:topLinePunct w:val="0"/>
              <w:autoSpaceDE/>
              <w:autoSpaceDN/>
              <w:bidi w:val="0"/>
              <w:adjustRightInd/>
              <w:snapToGrid/>
              <w:spacing w:line="360" w:lineRule="auto"/>
              <w:jc w:val="center"/>
              <w:rPr>
                <w:rFonts w:hint="eastAsia" w:ascii="黑体" w:hAnsi="黑体" w:eastAsia="黑体" w:cs="黑体"/>
                <w:b/>
                <w:bCs/>
                <w:i w:val="0"/>
                <w:iCs w:val="0"/>
                <w:color w:val="000000"/>
                <w:sz w:val="18"/>
                <w:szCs w:val="18"/>
                <w:highlight w:val="none"/>
                <w:u w:val="none"/>
              </w:rPr>
            </w:pPr>
          </w:p>
        </w:tc>
        <w:tc>
          <w:tcPr>
            <w:tcW w:w="271" w:type="pct"/>
            <w:tcBorders>
              <w:top w:val="single" w:color="000000" w:sz="4" w:space="0"/>
              <w:left w:val="single" w:color="000000" w:sz="4" w:space="0"/>
              <w:bottom w:val="single" w:color="000000" w:sz="4" w:space="0"/>
              <w:right w:val="single" w:color="000000" w:sz="4" w:space="0"/>
            </w:tcBorders>
            <w:noWrap w:val="0"/>
            <w:vAlign w:val="center"/>
          </w:tcPr>
          <w:p w14:paraId="3A484E16">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颅内搭桥包</w:t>
            </w:r>
          </w:p>
        </w:tc>
        <w:tc>
          <w:tcPr>
            <w:tcW w:w="3853" w:type="pct"/>
            <w:tcBorders>
              <w:top w:val="single" w:color="000000" w:sz="4" w:space="0"/>
              <w:left w:val="single" w:color="000000" w:sz="4" w:space="0"/>
              <w:bottom w:val="single" w:color="000000" w:sz="4" w:space="0"/>
              <w:right w:val="single" w:color="000000" w:sz="4" w:space="0"/>
            </w:tcBorders>
            <w:noWrap w:val="0"/>
            <w:vAlign w:val="center"/>
          </w:tcPr>
          <w:p w14:paraId="51E90B83">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 xml:space="preserve">显微基础器械包由4个品种，7个规格，8件产品组成。包内配有环形输卵管镊、显微镊、显微组织剪、显微持针钳                                                                                                                                                                                                                                                                                                                                                                                                                                                                                                                                                                                                                                                                                                                                                                                                                                                                                                                                                                                                                                                                                                                                                                                                                                                        </w:t>
            </w:r>
          </w:p>
        </w:tc>
        <w:tc>
          <w:tcPr>
            <w:tcW w:w="197" w:type="pct"/>
            <w:tcBorders>
              <w:top w:val="single" w:color="000000" w:sz="4" w:space="0"/>
              <w:left w:val="single" w:color="000000" w:sz="4" w:space="0"/>
              <w:bottom w:val="single" w:color="000000" w:sz="4" w:space="0"/>
              <w:right w:val="single" w:color="000000" w:sz="4" w:space="0"/>
            </w:tcBorders>
            <w:noWrap w:val="0"/>
            <w:vAlign w:val="center"/>
          </w:tcPr>
          <w:p w14:paraId="6843B374">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1</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14:paraId="09D827D3">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套</w:t>
            </w:r>
          </w:p>
        </w:tc>
      </w:tr>
      <w:tr w14:paraId="6D97CC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50" w:hRule="atLeast"/>
        </w:trPr>
        <w:tc>
          <w:tcPr>
            <w:tcW w:w="409" w:type="pct"/>
            <w:vMerge w:val="continue"/>
            <w:tcBorders>
              <w:top w:val="single" w:color="000000" w:sz="4" w:space="0"/>
              <w:left w:val="single" w:color="000000" w:sz="4" w:space="0"/>
              <w:bottom w:val="single" w:color="000000" w:sz="4" w:space="0"/>
              <w:right w:val="single" w:color="000000" w:sz="4" w:space="0"/>
            </w:tcBorders>
            <w:noWrap w:val="0"/>
            <w:vAlign w:val="center"/>
          </w:tcPr>
          <w:p w14:paraId="7E354855">
            <w:pPr>
              <w:keepNext w:val="0"/>
              <w:keepLines w:val="0"/>
              <w:pageBreakBefore w:val="0"/>
              <w:kinsoku/>
              <w:wordWrap/>
              <w:overflowPunct/>
              <w:topLinePunct w:val="0"/>
              <w:autoSpaceDE/>
              <w:autoSpaceDN/>
              <w:bidi w:val="0"/>
              <w:adjustRightInd/>
              <w:snapToGrid/>
              <w:spacing w:line="360" w:lineRule="auto"/>
              <w:jc w:val="center"/>
              <w:rPr>
                <w:rFonts w:hint="eastAsia" w:ascii="黑体" w:hAnsi="黑体" w:eastAsia="黑体" w:cs="黑体"/>
                <w:b/>
                <w:bCs/>
                <w:i w:val="0"/>
                <w:iCs w:val="0"/>
                <w:color w:val="000000"/>
                <w:sz w:val="18"/>
                <w:szCs w:val="18"/>
                <w:highlight w:val="none"/>
                <w:u w:val="none"/>
              </w:rPr>
            </w:pPr>
          </w:p>
        </w:tc>
        <w:tc>
          <w:tcPr>
            <w:tcW w:w="271" w:type="pct"/>
            <w:vMerge w:val="restart"/>
            <w:tcBorders>
              <w:top w:val="single" w:color="000000" w:sz="4" w:space="0"/>
              <w:left w:val="single" w:color="000000" w:sz="4" w:space="0"/>
              <w:right w:val="single" w:color="000000" w:sz="4" w:space="0"/>
            </w:tcBorders>
            <w:noWrap w:val="0"/>
            <w:vAlign w:val="center"/>
          </w:tcPr>
          <w:p w14:paraId="189BFB9E">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顿头钛合金显微剪刀</w:t>
            </w:r>
          </w:p>
        </w:tc>
        <w:tc>
          <w:tcPr>
            <w:tcW w:w="3853" w:type="pct"/>
            <w:tcBorders>
              <w:top w:val="single" w:color="000000" w:sz="4" w:space="0"/>
              <w:left w:val="single" w:color="000000" w:sz="4" w:space="0"/>
              <w:bottom w:val="single" w:color="000000" w:sz="4" w:space="0"/>
              <w:right w:val="single" w:color="000000" w:sz="4" w:space="0"/>
            </w:tcBorders>
            <w:noWrap w:val="0"/>
            <w:vAlign w:val="center"/>
          </w:tcPr>
          <w:p w14:paraId="27C42743">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1.长度225mm，直头，精细型，工作杆枪状，工作长度100mm。手柄扁柄带孔。</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2.与人体接触部位采用医用不锈钢制造，该材料化学成分符合YY/T 0294.1-2016《外科器械金属材料第1部分：不锈钢》，材料应经热处理，硬度48-58HRC。</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3.器械外表面纳米陶瓷涂层，不得有锋棱、毛刺及明显的碰伤和划痕，其表面粗糙度不大于0.8μmm。</w:t>
            </w:r>
          </w:p>
        </w:tc>
        <w:tc>
          <w:tcPr>
            <w:tcW w:w="197" w:type="pct"/>
            <w:tcBorders>
              <w:top w:val="single" w:color="000000" w:sz="4" w:space="0"/>
              <w:left w:val="single" w:color="000000" w:sz="4" w:space="0"/>
              <w:bottom w:val="single" w:color="000000" w:sz="4" w:space="0"/>
              <w:right w:val="single" w:color="000000" w:sz="4" w:space="0"/>
            </w:tcBorders>
            <w:noWrap w:val="0"/>
            <w:vAlign w:val="center"/>
          </w:tcPr>
          <w:p w14:paraId="30E50CDB">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1</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14:paraId="4005382E">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件</w:t>
            </w:r>
          </w:p>
        </w:tc>
      </w:tr>
      <w:tr w14:paraId="2656E0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50" w:hRule="atLeast"/>
        </w:trPr>
        <w:tc>
          <w:tcPr>
            <w:tcW w:w="409" w:type="pct"/>
            <w:vMerge w:val="continue"/>
            <w:tcBorders>
              <w:top w:val="single" w:color="000000" w:sz="4" w:space="0"/>
              <w:left w:val="single" w:color="000000" w:sz="4" w:space="0"/>
              <w:bottom w:val="single" w:color="000000" w:sz="4" w:space="0"/>
              <w:right w:val="single" w:color="000000" w:sz="4" w:space="0"/>
            </w:tcBorders>
            <w:noWrap w:val="0"/>
            <w:vAlign w:val="center"/>
          </w:tcPr>
          <w:p w14:paraId="38155A0B">
            <w:pPr>
              <w:keepNext w:val="0"/>
              <w:keepLines w:val="0"/>
              <w:pageBreakBefore w:val="0"/>
              <w:kinsoku/>
              <w:wordWrap/>
              <w:overflowPunct/>
              <w:topLinePunct w:val="0"/>
              <w:autoSpaceDE/>
              <w:autoSpaceDN/>
              <w:bidi w:val="0"/>
              <w:adjustRightInd/>
              <w:snapToGrid/>
              <w:spacing w:line="360" w:lineRule="auto"/>
              <w:jc w:val="center"/>
              <w:rPr>
                <w:rFonts w:hint="eastAsia" w:ascii="黑体" w:hAnsi="黑体" w:eastAsia="黑体" w:cs="黑体"/>
                <w:b/>
                <w:bCs/>
                <w:i w:val="0"/>
                <w:iCs w:val="0"/>
                <w:color w:val="000000"/>
                <w:sz w:val="18"/>
                <w:szCs w:val="18"/>
                <w:highlight w:val="none"/>
                <w:u w:val="none"/>
              </w:rPr>
            </w:pPr>
          </w:p>
        </w:tc>
        <w:tc>
          <w:tcPr>
            <w:tcW w:w="271" w:type="pct"/>
            <w:vMerge w:val="continue"/>
            <w:tcBorders>
              <w:left w:val="single" w:color="000000" w:sz="4" w:space="0"/>
              <w:bottom w:val="single" w:color="000000" w:sz="4" w:space="0"/>
              <w:right w:val="single" w:color="000000" w:sz="4" w:space="0"/>
            </w:tcBorders>
            <w:noWrap w:val="0"/>
            <w:vAlign w:val="center"/>
          </w:tcPr>
          <w:p w14:paraId="4483F683">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黑体" w:hAnsi="黑体" w:eastAsia="黑体" w:cs="黑体"/>
                <w:i w:val="0"/>
                <w:iCs w:val="0"/>
                <w:color w:val="000000"/>
                <w:kern w:val="0"/>
                <w:sz w:val="18"/>
                <w:szCs w:val="18"/>
                <w:highlight w:val="none"/>
                <w:u w:val="none"/>
                <w:lang w:val="en-US" w:eastAsia="zh-CN" w:bidi="ar"/>
              </w:rPr>
            </w:pPr>
          </w:p>
        </w:tc>
        <w:tc>
          <w:tcPr>
            <w:tcW w:w="3853" w:type="pct"/>
            <w:tcBorders>
              <w:top w:val="single" w:color="000000" w:sz="4" w:space="0"/>
              <w:left w:val="single" w:color="000000" w:sz="4" w:space="0"/>
              <w:bottom w:val="single" w:color="000000" w:sz="4" w:space="0"/>
              <w:right w:val="single" w:color="000000" w:sz="4" w:space="0"/>
            </w:tcBorders>
            <w:noWrap w:val="0"/>
            <w:vAlign w:val="center"/>
          </w:tcPr>
          <w:p w14:paraId="13B1EC23">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1.长度225mm，直头，工作杆枪状，工作长度100mm。手柄扁柄带孔。</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2.与人体接触部位采用医用不锈钢制造，该材料化学成分符合YY/T 0294.1-2016《外科器械金属材料第1部分：不锈钢》，材料应经热处理，硬度48-58HRC。</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3.器械外表面纳米陶瓷涂层，不得有锋棱、毛刺及明显的碰伤和划痕，其表面粗糙度不大于0.8μmm。</w:t>
            </w:r>
          </w:p>
        </w:tc>
        <w:tc>
          <w:tcPr>
            <w:tcW w:w="197" w:type="pct"/>
            <w:tcBorders>
              <w:top w:val="single" w:color="000000" w:sz="4" w:space="0"/>
              <w:left w:val="single" w:color="000000" w:sz="4" w:space="0"/>
              <w:bottom w:val="single" w:color="000000" w:sz="4" w:space="0"/>
              <w:right w:val="single" w:color="000000" w:sz="4" w:space="0"/>
            </w:tcBorders>
            <w:noWrap w:val="0"/>
            <w:vAlign w:val="center"/>
          </w:tcPr>
          <w:p w14:paraId="23667DED">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1</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14:paraId="5E13B209">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件</w:t>
            </w:r>
          </w:p>
        </w:tc>
      </w:tr>
      <w:tr w14:paraId="461004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50" w:hRule="atLeast"/>
        </w:trPr>
        <w:tc>
          <w:tcPr>
            <w:tcW w:w="409" w:type="pct"/>
            <w:vMerge w:val="continue"/>
            <w:tcBorders>
              <w:top w:val="single" w:color="000000" w:sz="4" w:space="0"/>
              <w:left w:val="single" w:color="000000" w:sz="4" w:space="0"/>
              <w:bottom w:val="single" w:color="000000" w:sz="4" w:space="0"/>
              <w:right w:val="single" w:color="000000" w:sz="4" w:space="0"/>
            </w:tcBorders>
            <w:noWrap w:val="0"/>
            <w:vAlign w:val="center"/>
          </w:tcPr>
          <w:p w14:paraId="7C2297FA">
            <w:pPr>
              <w:keepNext w:val="0"/>
              <w:keepLines w:val="0"/>
              <w:pageBreakBefore w:val="0"/>
              <w:kinsoku/>
              <w:wordWrap/>
              <w:overflowPunct/>
              <w:topLinePunct w:val="0"/>
              <w:autoSpaceDE/>
              <w:autoSpaceDN/>
              <w:bidi w:val="0"/>
              <w:adjustRightInd/>
              <w:snapToGrid/>
              <w:spacing w:line="360" w:lineRule="auto"/>
              <w:jc w:val="center"/>
              <w:rPr>
                <w:rFonts w:hint="eastAsia" w:ascii="黑体" w:hAnsi="黑体" w:eastAsia="黑体" w:cs="黑体"/>
                <w:b/>
                <w:bCs/>
                <w:i w:val="0"/>
                <w:iCs w:val="0"/>
                <w:color w:val="000000"/>
                <w:sz w:val="18"/>
                <w:szCs w:val="18"/>
                <w:highlight w:val="none"/>
                <w:u w:val="none"/>
              </w:rPr>
            </w:pPr>
          </w:p>
        </w:tc>
        <w:tc>
          <w:tcPr>
            <w:tcW w:w="271" w:type="pct"/>
            <w:tcBorders>
              <w:top w:val="single" w:color="000000" w:sz="4" w:space="0"/>
              <w:left w:val="single" w:color="000000" w:sz="4" w:space="0"/>
              <w:bottom w:val="single" w:color="000000" w:sz="4" w:space="0"/>
              <w:right w:val="single" w:color="000000" w:sz="4" w:space="0"/>
            </w:tcBorders>
            <w:noWrap w:val="0"/>
            <w:vAlign w:val="center"/>
          </w:tcPr>
          <w:p w14:paraId="28EF6350">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后颅窝咬骨钳</w:t>
            </w:r>
          </w:p>
        </w:tc>
        <w:tc>
          <w:tcPr>
            <w:tcW w:w="3853" w:type="pct"/>
            <w:tcBorders>
              <w:top w:val="single" w:color="000000" w:sz="4" w:space="0"/>
              <w:left w:val="single" w:color="000000" w:sz="4" w:space="0"/>
              <w:bottom w:val="single" w:color="000000" w:sz="4" w:space="0"/>
              <w:right w:val="single" w:color="000000" w:sz="4" w:space="0"/>
            </w:tcBorders>
            <w:noWrap w:val="0"/>
            <w:vAlign w:val="center"/>
          </w:tcPr>
          <w:p w14:paraId="7F5555AD">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1.长度230mm，头部宽度8mm，双关节。</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2.与患者接触部分采用医用不锈钢制造，该材料化学成分符合YY/T 0294.1-2016《外科器械金属材料第1部分：不锈钢》，应经热处理，其硬度为48-58HRC。</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3.器械外表面电镀处理，不得有锋棱、毛刺及明显的碰伤和划痕，其表面粗糙度不大于0.8μmm。</w:t>
            </w:r>
          </w:p>
        </w:tc>
        <w:tc>
          <w:tcPr>
            <w:tcW w:w="197" w:type="pct"/>
            <w:tcBorders>
              <w:top w:val="single" w:color="000000" w:sz="4" w:space="0"/>
              <w:left w:val="single" w:color="000000" w:sz="4" w:space="0"/>
              <w:bottom w:val="single" w:color="000000" w:sz="4" w:space="0"/>
              <w:right w:val="single" w:color="000000" w:sz="4" w:space="0"/>
            </w:tcBorders>
            <w:noWrap w:val="0"/>
            <w:vAlign w:val="center"/>
          </w:tcPr>
          <w:p w14:paraId="67C98946">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3</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14:paraId="2A10B728">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把</w:t>
            </w:r>
          </w:p>
        </w:tc>
      </w:tr>
      <w:tr w14:paraId="6AC367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409" w:type="pct"/>
            <w:vMerge w:val="continue"/>
            <w:tcBorders>
              <w:top w:val="single" w:color="000000" w:sz="4" w:space="0"/>
              <w:left w:val="single" w:color="000000" w:sz="4" w:space="0"/>
              <w:bottom w:val="single" w:color="000000" w:sz="4" w:space="0"/>
              <w:right w:val="single" w:color="000000" w:sz="4" w:space="0"/>
            </w:tcBorders>
            <w:noWrap w:val="0"/>
            <w:vAlign w:val="center"/>
          </w:tcPr>
          <w:p w14:paraId="6904B619">
            <w:pPr>
              <w:keepNext w:val="0"/>
              <w:keepLines w:val="0"/>
              <w:pageBreakBefore w:val="0"/>
              <w:kinsoku/>
              <w:wordWrap/>
              <w:overflowPunct/>
              <w:topLinePunct w:val="0"/>
              <w:autoSpaceDE/>
              <w:autoSpaceDN/>
              <w:bidi w:val="0"/>
              <w:adjustRightInd/>
              <w:snapToGrid/>
              <w:spacing w:line="360" w:lineRule="auto"/>
              <w:jc w:val="center"/>
              <w:rPr>
                <w:rFonts w:hint="eastAsia" w:ascii="黑体" w:hAnsi="黑体" w:eastAsia="黑体" w:cs="黑体"/>
                <w:b/>
                <w:bCs/>
                <w:i w:val="0"/>
                <w:iCs w:val="0"/>
                <w:color w:val="000000"/>
                <w:sz w:val="18"/>
                <w:szCs w:val="18"/>
                <w:highlight w:val="none"/>
                <w:u w:val="none"/>
              </w:rPr>
            </w:pPr>
          </w:p>
        </w:tc>
        <w:tc>
          <w:tcPr>
            <w:tcW w:w="271" w:type="pct"/>
            <w:tcBorders>
              <w:top w:val="single" w:color="000000" w:sz="4" w:space="0"/>
              <w:left w:val="single" w:color="000000" w:sz="4" w:space="0"/>
              <w:bottom w:val="single" w:color="000000" w:sz="4" w:space="0"/>
              <w:right w:val="single" w:color="000000" w:sz="4" w:space="0"/>
            </w:tcBorders>
            <w:noWrap w:val="0"/>
            <w:vAlign w:val="center"/>
          </w:tcPr>
          <w:p w14:paraId="45DAAA63">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神经外科头架</w:t>
            </w:r>
          </w:p>
        </w:tc>
        <w:tc>
          <w:tcPr>
            <w:tcW w:w="3853" w:type="pct"/>
            <w:tcBorders>
              <w:top w:val="single" w:color="000000" w:sz="4" w:space="0"/>
              <w:left w:val="single" w:color="000000" w:sz="4" w:space="0"/>
              <w:bottom w:val="single" w:color="000000" w:sz="4" w:space="0"/>
              <w:right w:val="single" w:color="000000" w:sz="4" w:space="0"/>
            </w:tcBorders>
            <w:noWrap w:val="0"/>
            <w:vAlign w:val="center"/>
          </w:tcPr>
          <w:p w14:paraId="55579754">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1、产品主体材料为铝合金，转运轻便且满足强度要求。</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2、活动距离：</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 xml:space="preserve">    前后移动量：350mm            左右移动量：350mm</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 xml:space="preserve">    上下移动量：320mm            旋摆角：不小于70°</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3、安装中心距调节范围：两支架向里时为40-350mm，两支架向外时为190-550mm。</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4、头架床头固定杆标准配置为直径Φ12mm和φ18mm两种，可调换定制。</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5、活动臂、固定臂到轴梁之间主要采用连杆、球头部件、齿轮啮合以及能锁紧的调节臂结构组成。该结构既有利于调节各种角度，又能方便立刻紧固，具有操作简单、方便、安全、可靠等特点。</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6、固定夹外形为向外扩张型，手术时增大手术操作空间，方便手术操作。</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7、固定臂与活动臂部件上增设快速导轨，软轴可不经转接器直接固定于两臂，脑牵开方式更灵活。</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8、活动臂头钉调节装置，在装置中标有头钉压力90N、180N、270N、360N四个参数，成人颅骨夹紧力参考值为270N—360N，儿童颅骨夹紧力参考值为180N左右。为医生加压头钉力量的大小提供了量化指标。</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9、弧形块座体装置设有“松”、“紧”两个状态，滚花螺帽旋转60°为松的状态，弧形块座体可转动，滚花螺帽反向转60°，为紧的状态，弧形块座体被固定。“松”“紧”两种状态的设置，使操作更为迅速、简捷。</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10、球头万向固定装置，采用径向锁紧，手感舒适，锁紧简捷。</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11、头托垫采用凝胶填充，按压时柔软舒适，可避免长时间使用垫破患者皮肤。</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12、头托垫与头托底座连接牢固，采用螺栓连接方式固定，安全可靠。</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13、头架两种用途：安装活动臂、固定臂部件时，可实现固定头部的目的。安装富有弹性的头托部件时可实现垫枕头部的手术要求。</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14、配有成人及儿童用两种头钉（前尖锥角较小的为儿童头钉），并可重复使用。头钉与人体接触部分采用医用不锈钢制造，该材料化学成分符合YY/T 0294.1-2016《外科器械金属材料第1部分：不锈钢》，应经热处理，硬度40-48HRC。</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15、可与球体活结开槽的软轴牵开器（弯曲过程手感轻柔）配合使用。</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16、原则上除头托部件外，其余部件可以高温高压、低温等离子、环氧乙烷灭菌。一般建议头钉高温高压消毒灭菌，其余零部件酒精擦拭消毒灭菌。头托部件严禁高温高压消毒灭菌。</w:t>
            </w:r>
          </w:p>
        </w:tc>
        <w:tc>
          <w:tcPr>
            <w:tcW w:w="197" w:type="pct"/>
            <w:tcBorders>
              <w:top w:val="single" w:color="000000" w:sz="4" w:space="0"/>
              <w:left w:val="single" w:color="000000" w:sz="4" w:space="0"/>
              <w:bottom w:val="single" w:color="000000" w:sz="4" w:space="0"/>
              <w:right w:val="single" w:color="000000" w:sz="4" w:space="0"/>
            </w:tcBorders>
            <w:noWrap w:val="0"/>
            <w:vAlign w:val="center"/>
          </w:tcPr>
          <w:p w14:paraId="7CF2F9F5">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1</w:t>
            </w:r>
          </w:p>
        </w:tc>
        <w:tc>
          <w:tcPr>
            <w:tcW w:w="268" w:type="pct"/>
            <w:tcBorders>
              <w:top w:val="single" w:color="000000" w:sz="4" w:space="0"/>
              <w:left w:val="single" w:color="000000" w:sz="4" w:space="0"/>
              <w:bottom w:val="single" w:color="000000" w:sz="4" w:space="0"/>
              <w:right w:val="single" w:color="000000" w:sz="4" w:space="0"/>
            </w:tcBorders>
            <w:noWrap w:val="0"/>
            <w:vAlign w:val="center"/>
          </w:tcPr>
          <w:p w14:paraId="20D2405D">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套</w:t>
            </w:r>
          </w:p>
        </w:tc>
      </w:tr>
      <w:tr w14:paraId="571117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50" w:hRule="atLeast"/>
        </w:trPr>
        <w:tc>
          <w:tcPr>
            <w:tcW w:w="409" w:type="pct"/>
            <w:vMerge w:val="continue"/>
            <w:tcBorders>
              <w:top w:val="single" w:color="000000" w:sz="4" w:space="0"/>
              <w:left w:val="single" w:color="000000" w:sz="4" w:space="0"/>
              <w:bottom w:val="single" w:color="000000" w:sz="4" w:space="0"/>
              <w:right w:val="single" w:color="000000" w:sz="4" w:space="0"/>
            </w:tcBorders>
            <w:noWrap w:val="0"/>
            <w:vAlign w:val="center"/>
          </w:tcPr>
          <w:p w14:paraId="39006520">
            <w:pPr>
              <w:keepNext w:val="0"/>
              <w:keepLines w:val="0"/>
              <w:pageBreakBefore w:val="0"/>
              <w:kinsoku/>
              <w:wordWrap/>
              <w:overflowPunct/>
              <w:topLinePunct w:val="0"/>
              <w:autoSpaceDE/>
              <w:autoSpaceDN/>
              <w:bidi w:val="0"/>
              <w:adjustRightInd/>
              <w:snapToGrid/>
              <w:spacing w:line="360" w:lineRule="auto"/>
              <w:jc w:val="center"/>
              <w:rPr>
                <w:rFonts w:hint="eastAsia" w:ascii="黑体" w:hAnsi="黑体" w:eastAsia="黑体" w:cs="黑体"/>
                <w:b/>
                <w:bCs/>
                <w:i w:val="0"/>
                <w:iCs w:val="0"/>
                <w:color w:val="000000"/>
                <w:sz w:val="18"/>
                <w:szCs w:val="18"/>
                <w:highlight w:val="none"/>
                <w:u w:val="none"/>
              </w:rPr>
            </w:pPr>
          </w:p>
        </w:tc>
        <w:tc>
          <w:tcPr>
            <w:tcW w:w="271" w:type="pct"/>
            <w:vMerge w:val="restart"/>
            <w:tcBorders>
              <w:top w:val="single" w:color="000000" w:sz="4" w:space="0"/>
              <w:left w:val="single" w:color="000000" w:sz="4" w:space="0"/>
              <w:right w:val="single" w:color="000000" w:sz="4" w:space="0"/>
            </w:tcBorders>
            <w:noWrap w:val="0"/>
            <w:vAlign w:val="center"/>
          </w:tcPr>
          <w:p w14:paraId="55B3396E">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颈动脉内膜剥脱器械</w:t>
            </w:r>
          </w:p>
        </w:tc>
        <w:tc>
          <w:tcPr>
            <w:tcW w:w="3853" w:type="pct"/>
            <w:tcBorders>
              <w:top w:val="single" w:color="000000" w:sz="4" w:space="0"/>
              <w:left w:val="single" w:color="000000" w:sz="4" w:space="0"/>
              <w:bottom w:val="single" w:color="000000" w:sz="4" w:space="0"/>
              <w:right w:val="single" w:color="000000" w:sz="4" w:space="0"/>
            </w:tcBorders>
            <w:noWrap w:val="0"/>
            <w:vAlign w:val="center"/>
          </w:tcPr>
          <w:p w14:paraId="3F24CBD3">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1.长度180mm，头部Φ1mm，直型，环形，圆柄。</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2.与人体接触部位采用钛合金制造，该材料化学成分符合GB/T 3620.1-2016《钛及钛合金牌号和化学成分》标准的要求，硬度不低于300HV0.2。</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3.器械外表面氧化发蓝，不得有锋棱、毛刺及明显的碰伤和划痕，其表面粗糙度不大于0.8μmm。</w:t>
            </w:r>
          </w:p>
        </w:tc>
        <w:tc>
          <w:tcPr>
            <w:tcW w:w="197" w:type="pct"/>
            <w:vMerge w:val="restart"/>
            <w:tcBorders>
              <w:top w:val="single" w:color="000000" w:sz="4" w:space="0"/>
              <w:left w:val="single" w:color="000000" w:sz="4" w:space="0"/>
              <w:right w:val="single" w:color="000000" w:sz="4" w:space="0"/>
            </w:tcBorders>
            <w:noWrap w:val="0"/>
            <w:vAlign w:val="center"/>
          </w:tcPr>
          <w:p w14:paraId="791E4673">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1</w:t>
            </w:r>
          </w:p>
        </w:tc>
        <w:tc>
          <w:tcPr>
            <w:tcW w:w="268" w:type="pct"/>
            <w:vMerge w:val="restart"/>
            <w:tcBorders>
              <w:top w:val="single" w:color="000000" w:sz="4" w:space="0"/>
              <w:left w:val="single" w:color="000000" w:sz="4" w:space="0"/>
              <w:right w:val="single" w:color="000000" w:sz="4" w:space="0"/>
            </w:tcBorders>
            <w:noWrap w:val="0"/>
            <w:vAlign w:val="center"/>
          </w:tcPr>
          <w:p w14:paraId="45613C56">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套</w:t>
            </w:r>
          </w:p>
        </w:tc>
      </w:tr>
      <w:tr w14:paraId="1D1F81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50" w:hRule="atLeast"/>
        </w:trPr>
        <w:tc>
          <w:tcPr>
            <w:tcW w:w="409" w:type="pct"/>
            <w:vMerge w:val="continue"/>
            <w:tcBorders>
              <w:top w:val="single" w:color="000000" w:sz="4" w:space="0"/>
              <w:left w:val="single" w:color="000000" w:sz="4" w:space="0"/>
              <w:bottom w:val="single" w:color="000000" w:sz="4" w:space="0"/>
              <w:right w:val="single" w:color="000000" w:sz="4" w:space="0"/>
            </w:tcBorders>
            <w:noWrap w:val="0"/>
            <w:vAlign w:val="center"/>
          </w:tcPr>
          <w:p w14:paraId="11A21027">
            <w:pPr>
              <w:keepNext w:val="0"/>
              <w:keepLines w:val="0"/>
              <w:pageBreakBefore w:val="0"/>
              <w:kinsoku/>
              <w:wordWrap/>
              <w:overflowPunct/>
              <w:topLinePunct w:val="0"/>
              <w:autoSpaceDE/>
              <w:autoSpaceDN/>
              <w:bidi w:val="0"/>
              <w:adjustRightInd/>
              <w:snapToGrid/>
              <w:spacing w:line="360" w:lineRule="auto"/>
              <w:jc w:val="center"/>
              <w:rPr>
                <w:rFonts w:hint="eastAsia" w:ascii="黑体" w:hAnsi="黑体" w:eastAsia="黑体" w:cs="黑体"/>
                <w:b/>
                <w:bCs/>
                <w:i w:val="0"/>
                <w:iCs w:val="0"/>
                <w:color w:val="000000"/>
                <w:sz w:val="18"/>
                <w:szCs w:val="18"/>
                <w:highlight w:val="none"/>
                <w:u w:val="none"/>
              </w:rPr>
            </w:pPr>
          </w:p>
        </w:tc>
        <w:tc>
          <w:tcPr>
            <w:tcW w:w="271" w:type="pct"/>
            <w:vMerge w:val="continue"/>
            <w:tcBorders>
              <w:left w:val="single" w:color="000000" w:sz="4" w:space="0"/>
              <w:right w:val="single" w:color="000000" w:sz="4" w:space="0"/>
            </w:tcBorders>
            <w:noWrap w:val="0"/>
            <w:vAlign w:val="center"/>
          </w:tcPr>
          <w:p w14:paraId="140282C7">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黑体" w:hAnsi="黑体" w:eastAsia="黑体" w:cs="黑体"/>
                <w:i w:val="0"/>
                <w:iCs w:val="0"/>
                <w:color w:val="000000"/>
                <w:kern w:val="0"/>
                <w:sz w:val="18"/>
                <w:szCs w:val="18"/>
                <w:highlight w:val="none"/>
                <w:u w:val="none"/>
                <w:lang w:val="en-US" w:eastAsia="zh-CN" w:bidi="ar"/>
              </w:rPr>
            </w:pPr>
          </w:p>
        </w:tc>
        <w:tc>
          <w:tcPr>
            <w:tcW w:w="3853" w:type="pct"/>
            <w:tcBorders>
              <w:top w:val="single" w:color="000000" w:sz="4" w:space="0"/>
              <w:left w:val="single" w:color="000000" w:sz="4" w:space="0"/>
              <w:bottom w:val="single" w:color="000000" w:sz="4" w:space="0"/>
              <w:right w:val="single" w:color="000000" w:sz="4" w:space="0"/>
            </w:tcBorders>
            <w:noWrap w:val="0"/>
            <w:vAlign w:val="center"/>
          </w:tcPr>
          <w:p w14:paraId="411934C7">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1.总长180mm，弯高15mm；头宽2.8mm，直角弯，横齿。</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2.与患者间接接触部分的金属材料采用医用不锈钢材料制造，该材料化学成分符合GB_T 3280-2015，应经热处理，其硬度为40HRC-48HRC。</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3.器械外表面刷光，不得有锋棱、毛刺及明显的碰伤和划痕，其表面粗糙度Ra之值为：不大于0.4μmm。</w:t>
            </w:r>
          </w:p>
        </w:tc>
        <w:tc>
          <w:tcPr>
            <w:tcW w:w="197" w:type="pct"/>
            <w:vMerge w:val="continue"/>
            <w:tcBorders>
              <w:left w:val="single" w:color="000000" w:sz="4" w:space="0"/>
              <w:right w:val="single" w:color="000000" w:sz="4" w:space="0"/>
            </w:tcBorders>
            <w:noWrap w:val="0"/>
            <w:vAlign w:val="center"/>
          </w:tcPr>
          <w:p w14:paraId="3280FA42">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黑体" w:hAnsi="黑体" w:eastAsia="黑体" w:cs="黑体"/>
                <w:i w:val="0"/>
                <w:iCs w:val="0"/>
                <w:color w:val="000000"/>
                <w:kern w:val="0"/>
                <w:sz w:val="18"/>
                <w:szCs w:val="18"/>
                <w:highlight w:val="none"/>
                <w:u w:val="none"/>
                <w:lang w:val="en-US" w:eastAsia="zh-CN" w:bidi="ar"/>
              </w:rPr>
            </w:pPr>
          </w:p>
        </w:tc>
        <w:tc>
          <w:tcPr>
            <w:tcW w:w="268" w:type="pct"/>
            <w:vMerge w:val="continue"/>
            <w:tcBorders>
              <w:left w:val="single" w:color="000000" w:sz="4" w:space="0"/>
              <w:right w:val="single" w:color="000000" w:sz="4" w:space="0"/>
            </w:tcBorders>
            <w:noWrap w:val="0"/>
            <w:vAlign w:val="center"/>
          </w:tcPr>
          <w:p w14:paraId="623E55D4">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黑体" w:hAnsi="黑体" w:eastAsia="黑体" w:cs="黑体"/>
                <w:i w:val="0"/>
                <w:iCs w:val="0"/>
                <w:color w:val="000000"/>
                <w:kern w:val="0"/>
                <w:sz w:val="18"/>
                <w:szCs w:val="18"/>
                <w:highlight w:val="none"/>
                <w:u w:val="none"/>
                <w:lang w:val="en-US" w:eastAsia="zh-CN" w:bidi="ar"/>
              </w:rPr>
            </w:pPr>
          </w:p>
        </w:tc>
      </w:tr>
      <w:tr w14:paraId="4F6060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50" w:hRule="atLeast"/>
        </w:trPr>
        <w:tc>
          <w:tcPr>
            <w:tcW w:w="409" w:type="pct"/>
            <w:vMerge w:val="continue"/>
            <w:tcBorders>
              <w:top w:val="single" w:color="000000" w:sz="4" w:space="0"/>
              <w:left w:val="single" w:color="000000" w:sz="4" w:space="0"/>
              <w:bottom w:val="single" w:color="000000" w:sz="4" w:space="0"/>
              <w:right w:val="single" w:color="000000" w:sz="4" w:space="0"/>
            </w:tcBorders>
            <w:noWrap w:val="0"/>
            <w:vAlign w:val="center"/>
          </w:tcPr>
          <w:p w14:paraId="20FFFC9A">
            <w:pPr>
              <w:keepNext w:val="0"/>
              <w:keepLines w:val="0"/>
              <w:pageBreakBefore w:val="0"/>
              <w:kinsoku/>
              <w:wordWrap/>
              <w:overflowPunct/>
              <w:topLinePunct w:val="0"/>
              <w:autoSpaceDE/>
              <w:autoSpaceDN/>
              <w:bidi w:val="0"/>
              <w:adjustRightInd/>
              <w:snapToGrid/>
              <w:spacing w:line="360" w:lineRule="auto"/>
              <w:jc w:val="center"/>
              <w:rPr>
                <w:rFonts w:hint="eastAsia" w:ascii="黑体" w:hAnsi="黑体" w:eastAsia="黑体" w:cs="黑体"/>
                <w:b/>
                <w:bCs/>
                <w:i w:val="0"/>
                <w:iCs w:val="0"/>
                <w:color w:val="000000"/>
                <w:sz w:val="18"/>
                <w:szCs w:val="18"/>
                <w:highlight w:val="none"/>
                <w:u w:val="none"/>
              </w:rPr>
            </w:pPr>
          </w:p>
        </w:tc>
        <w:tc>
          <w:tcPr>
            <w:tcW w:w="271" w:type="pct"/>
            <w:vMerge w:val="continue"/>
            <w:tcBorders>
              <w:left w:val="single" w:color="000000" w:sz="4" w:space="0"/>
              <w:right w:val="single" w:color="000000" w:sz="4" w:space="0"/>
            </w:tcBorders>
            <w:noWrap w:val="0"/>
            <w:vAlign w:val="center"/>
          </w:tcPr>
          <w:p w14:paraId="7C5E98B2">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黑体" w:hAnsi="黑体" w:eastAsia="黑体" w:cs="黑体"/>
                <w:i w:val="0"/>
                <w:iCs w:val="0"/>
                <w:color w:val="000000"/>
                <w:kern w:val="0"/>
                <w:sz w:val="18"/>
                <w:szCs w:val="18"/>
                <w:highlight w:val="none"/>
                <w:u w:val="none"/>
                <w:lang w:val="en-US" w:eastAsia="zh-CN" w:bidi="ar"/>
              </w:rPr>
            </w:pPr>
          </w:p>
        </w:tc>
        <w:tc>
          <w:tcPr>
            <w:tcW w:w="3853" w:type="pct"/>
            <w:tcBorders>
              <w:top w:val="single" w:color="000000" w:sz="4" w:space="0"/>
              <w:left w:val="single" w:color="000000" w:sz="4" w:space="0"/>
              <w:bottom w:val="single" w:color="000000" w:sz="4" w:space="0"/>
              <w:right w:val="single" w:color="000000" w:sz="4" w:space="0"/>
            </w:tcBorders>
            <w:noWrap w:val="0"/>
            <w:vAlign w:val="center"/>
          </w:tcPr>
          <w:p w14:paraId="46740D81">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1.总长140mm，双角弯，1×2凹凸齿。</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2.与患者间接接触部分的金属材料采用医用不锈钢材料制造，该材料化学成分符合GB_T 3280-2015，应经热处理，其硬度为40HRC-48HRC。</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3.器械外表面刷光，不得有锋棱、毛刺及明显的碰伤和划痕，其表面粗糙度Ra之值为：不大于0.4μmm。</w:t>
            </w:r>
          </w:p>
        </w:tc>
        <w:tc>
          <w:tcPr>
            <w:tcW w:w="197" w:type="pct"/>
            <w:vMerge w:val="continue"/>
            <w:tcBorders>
              <w:left w:val="single" w:color="000000" w:sz="4" w:space="0"/>
              <w:right w:val="single" w:color="000000" w:sz="4" w:space="0"/>
            </w:tcBorders>
            <w:noWrap w:val="0"/>
            <w:vAlign w:val="center"/>
          </w:tcPr>
          <w:p w14:paraId="5FC4B924">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黑体" w:hAnsi="黑体" w:eastAsia="黑体" w:cs="黑体"/>
                <w:i w:val="0"/>
                <w:iCs w:val="0"/>
                <w:color w:val="000000"/>
                <w:kern w:val="0"/>
                <w:sz w:val="18"/>
                <w:szCs w:val="18"/>
                <w:highlight w:val="none"/>
                <w:u w:val="none"/>
                <w:lang w:val="en-US" w:eastAsia="zh-CN" w:bidi="ar"/>
              </w:rPr>
            </w:pPr>
          </w:p>
        </w:tc>
        <w:tc>
          <w:tcPr>
            <w:tcW w:w="268" w:type="pct"/>
            <w:vMerge w:val="continue"/>
            <w:tcBorders>
              <w:left w:val="single" w:color="000000" w:sz="4" w:space="0"/>
              <w:right w:val="single" w:color="000000" w:sz="4" w:space="0"/>
            </w:tcBorders>
            <w:noWrap w:val="0"/>
            <w:vAlign w:val="center"/>
          </w:tcPr>
          <w:p w14:paraId="3453CB0C">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黑体" w:hAnsi="黑体" w:eastAsia="黑体" w:cs="黑体"/>
                <w:i w:val="0"/>
                <w:iCs w:val="0"/>
                <w:color w:val="000000"/>
                <w:kern w:val="0"/>
                <w:sz w:val="18"/>
                <w:szCs w:val="18"/>
                <w:highlight w:val="none"/>
                <w:u w:val="none"/>
                <w:lang w:val="en-US" w:eastAsia="zh-CN" w:bidi="ar"/>
              </w:rPr>
            </w:pPr>
          </w:p>
        </w:tc>
      </w:tr>
      <w:tr w14:paraId="3180E9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50" w:hRule="atLeast"/>
        </w:trPr>
        <w:tc>
          <w:tcPr>
            <w:tcW w:w="409" w:type="pct"/>
            <w:vMerge w:val="continue"/>
            <w:tcBorders>
              <w:top w:val="single" w:color="000000" w:sz="4" w:space="0"/>
              <w:left w:val="single" w:color="000000" w:sz="4" w:space="0"/>
              <w:bottom w:val="single" w:color="000000" w:sz="4" w:space="0"/>
              <w:right w:val="single" w:color="000000" w:sz="4" w:space="0"/>
            </w:tcBorders>
            <w:noWrap w:val="0"/>
            <w:vAlign w:val="center"/>
          </w:tcPr>
          <w:p w14:paraId="5C38F8AA">
            <w:pPr>
              <w:keepNext w:val="0"/>
              <w:keepLines w:val="0"/>
              <w:pageBreakBefore w:val="0"/>
              <w:kinsoku/>
              <w:wordWrap/>
              <w:overflowPunct/>
              <w:topLinePunct w:val="0"/>
              <w:autoSpaceDE/>
              <w:autoSpaceDN/>
              <w:bidi w:val="0"/>
              <w:adjustRightInd/>
              <w:snapToGrid/>
              <w:spacing w:line="360" w:lineRule="auto"/>
              <w:jc w:val="center"/>
              <w:rPr>
                <w:rFonts w:hint="eastAsia" w:ascii="黑体" w:hAnsi="黑体" w:eastAsia="黑体" w:cs="黑体"/>
                <w:b/>
                <w:bCs/>
                <w:i w:val="0"/>
                <w:iCs w:val="0"/>
                <w:color w:val="000000"/>
                <w:sz w:val="18"/>
                <w:szCs w:val="18"/>
                <w:highlight w:val="none"/>
                <w:u w:val="none"/>
              </w:rPr>
            </w:pPr>
          </w:p>
        </w:tc>
        <w:tc>
          <w:tcPr>
            <w:tcW w:w="271" w:type="pct"/>
            <w:vMerge w:val="continue"/>
            <w:tcBorders>
              <w:left w:val="single" w:color="000000" w:sz="4" w:space="0"/>
              <w:right w:val="single" w:color="000000" w:sz="4" w:space="0"/>
            </w:tcBorders>
            <w:noWrap w:val="0"/>
            <w:vAlign w:val="center"/>
          </w:tcPr>
          <w:p w14:paraId="000442DC">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黑体" w:hAnsi="黑体" w:eastAsia="黑体" w:cs="黑体"/>
                <w:i w:val="0"/>
                <w:iCs w:val="0"/>
                <w:color w:val="000000"/>
                <w:kern w:val="0"/>
                <w:sz w:val="18"/>
                <w:szCs w:val="18"/>
                <w:highlight w:val="none"/>
                <w:u w:val="none"/>
                <w:lang w:val="en-US" w:eastAsia="zh-CN" w:bidi="ar"/>
              </w:rPr>
            </w:pPr>
          </w:p>
        </w:tc>
        <w:tc>
          <w:tcPr>
            <w:tcW w:w="3853" w:type="pct"/>
            <w:tcBorders>
              <w:top w:val="single" w:color="000000" w:sz="4" w:space="0"/>
              <w:left w:val="single" w:color="000000" w:sz="4" w:space="0"/>
              <w:bottom w:val="single" w:color="000000" w:sz="4" w:space="0"/>
              <w:right w:val="single" w:color="000000" w:sz="4" w:space="0"/>
            </w:tcBorders>
            <w:noWrap w:val="0"/>
            <w:vAlign w:val="center"/>
          </w:tcPr>
          <w:p w14:paraId="27983104">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1.长度180mm，头宽0.6mm，直型，平台，圆柄。</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2.与人体接触部位采用钛合金制造，该材料化学成分符合GB/T 3620.1-2016《钛及钛合金牌号和化学成分》标准的要求，硬度不低于300HV0.2。</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3.器械外表面氧化发蓝，不得有锋棱、毛刺及明显的碰伤和划痕，其表面粗糙度不大于0.8μmm。</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材料采用医用不锈钢20Cr13材质</w:t>
            </w:r>
          </w:p>
        </w:tc>
        <w:tc>
          <w:tcPr>
            <w:tcW w:w="197" w:type="pct"/>
            <w:vMerge w:val="continue"/>
            <w:tcBorders>
              <w:left w:val="single" w:color="000000" w:sz="4" w:space="0"/>
              <w:right w:val="single" w:color="000000" w:sz="4" w:space="0"/>
            </w:tcBorders>
            <w:noWrap w:val="0"/>
            <w:vAlign w:val="center"/>
          </w:tcPr>
          <w:p w14:paraId="0E19B1C3">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黑体" w:hAnsi="黑体" w:eastAsia="黑体" w:cs="黑体"/>
                <w:i w:val="0"/>
                <w:iCs w:val="0"/>
                <w:color w:val="000000"/>
                <w:kern w:val="0"/>
                <w:sz w:val="18"/>
                <w:szCs w:val="18"/>
                <w:highlight w:val="none"/>
                <w:u w:val="none"/>
                <w:lang w:val="en-US" w:eastAsia="zh-CN" w:bidi="ar"/>
              </w:rPr>
            </w:pPr>
          </w:p>
        </w:tc>
        <w:tc>
          <w:tcPr>
            <w:tcW w:w="268" w:type="pct"/>
            <w:vMerge w:val="continue"/>
            <w:tcBorders>
              <w:left w:val="single" w:color="000000" w:sz="4" w:space="0"/>
              <w:right w:val="single" w:color="000000" w:sz="4" w:space="0"/>
            </w:tcBorders>
            <w:noWrap w:val="0"/>
            <w:vAlign w:val="center"/>
          </w:tcPr>
          <w:p w14:paraId="27C9D478">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黑体" w:hAnsi="黑体" w:eastAsia="黑体" w:cs="黑体"/>
                <w:i w:val="0"/>
                <w:iCs w:val="0"/>
                <w:color w:val="000000"/>
                <w:kern w:val="0"/>
                <w:sz w:val="18"/>
                <w:szCs w:val="18"/>
                <w:highlight w:val="none"/>
                <w:u w:val="none"/>
                <w:lang w:val="en-US" w:eastAsia="zh-CN" w:bidi="ar"/>
              </w:rPr>
            </w:pPr>
          </w:p>
        </w:tc>
      </w:tr>
      <w:tr w14:paraId="284549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50" w:hRule="atLeast"/>
        </w:trPr>
        <w:tc>
          <w:tcPr>
            <w:tcW w:w="409" w:type="pct"/>
            <w:vMerge w:val="continue"/>
            <w:tcBorders>
              <w:top w:val="single" w:color="000000" w:sz="4" w:space="0"/>
              <w:left w:val="single" w:color="000000" w:sz="4" w:space="0"/>
              <w:bottom w:val="single" w:color="000000" w:sz="4" w:space="0"/>
              <w:right w:val="single" w:color="000000" w:sz="4" w:space="0"/>
            </w:tcBorders>
            <w:noWrap w:val="0"/>
            <w:vAlign w:val="center"/>
          </w:tcPr>
          <w:p w14:paraId="77DE164E">
            <w:pPr>
              <w:keepNext w:val="0"/>
              <w:keepLines w:val="0"/>
              <w:pageBreakBefore w:val="0"/>
              <w:kinsoku/>
              <w:wordWrap/>
              <w:overflowPunct/>
              <w:topLinePunct w:val="0"/>
              <w:autoSpaceDE/>
              <w:autoSpaceDN/>
              <w:bidi w:val="0"/>
              <w:adjustRightInd/>
              <w:snapToGrid/>
              <w:spacing w:line="360" w:lineRule="auto"/>
              <w:jc w:val="center"/>
              <w:rPr>
                <w:rFonts w:hint="eastAsia" w:ascii="黑体" w:hAnsi="黑体" w:eastAsia="黑体" w:cs="黑体"/>
                <w:b/>
                <w:bCs/>
                <w:i w:val="0"/>
                <w:iCs w:val="0"/>
                <w:color w:val="000000"/>
                <w:sz w:val="18"/>
                <w:szCs w:val="18"/>
                <w:highlight w:val="none"/>
                <w:u w:val="none"/>
              </w:rPr>
            </w:pPr>
          </w:p>
        </w:tc>
        <w:tc>
          <w:tcPr>
            <w:tcW w:w="271" w:type="pct"/>
            <w:vMerge w:val="continue"/>
            <w:tcBorders>
              <w:left w:val="single" w:color="000000" w:sz="4" w:space="0"/>
              <w:right w:val="single" w:color="000000" w:sz="4" w:space="0"/>
            </w:tcBorders>
            <w:noWrap w:val="0"/>
            <w:vAlign w:val="center"/>
          </w:tcPr>
          <w:p w14:paraId="070D2457">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黑体" w:hAnsi="黑体" w:eastAsia="黑体" w:cs="黑体"/>
                <w:i w:val="0"/>
                <w:iCs w:val="0"/>
                <w:color w:val="000000"/>
                <w:kern w:val="0"/>
                <w:sz w:val="18"/>
                <w:szCs w:val="18"/>
                <w:highlight w:val="none"/>
                <w:u w:val="none"/>
                <w:lang w:val="en-US" w:eastAsia="zh-CN" w:bidi="ar"/>
              </w:rPr>
            </w:pPr>
          </w:p>
        </w:tc>
        <w:tc>
          <w:tcPr>
            <w:tcW w:w="3853" w:type="pct"/>
            <w:tcBorders>
              <w:top w:val="single" w:color="000000" w:sz="4" w:space="0"/>
              <w:left w:val="single" w:color="000000" w:sz="4" w:space="0"/>
              <w:bottom w:val="single" w:color="000000" w:sz="4" w:space="0"/>
              <w:right w:val="single" w:color="000000" w:sz="4" w:space="0"/>
            </w:tcBorders>
            <w:noWrap w:val="0"/>
            <w:vAlign w:val="center"/>
          </w:tcPr>
          <w:p w14:paraId="3439CA0D">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1.长度180mm，弯，尖头。</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2.与患者接触部分采用医用不锈钢制造，该材料化学成分符合YY/T 0294.1-2016《外科器械金属材料第1部分：不锈钢》，应经热处理，其硬度为48-58HRC。</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3.器械外表面刷光处理，不得有锋棱、毛刺及明显的碰伤和划痕，其表面粗糙度不大于0.8μmm。</w:t>
            </w:r>
          </w:p>
        </w:tc>
        <w:tc>
          <w:tcPr>
            <w:tcW w:w="197" w:type="pct"/>
            <w:vMerge w:val="continue"/>
            <w:tcBorders>
              <w:left w:val="single" w:color="000000" w:sz="4" w:space="0"/>
              <w:right w:val="single" w:color="000000" w:sz="4" w:space="0"/>
            </w:tcBorders>
            <w:noWrap w:val="0"/>
            <w:vAlign w:val="center"/>
          </w:tcPr>
          <w:p w14:paraId="2FE177C0">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黑体" w:hAnsi="黑体" w:eastAsia="黑体" w:cs="黑体"/>
                <w:i w:val="0"/>
                <w:iCs w:val="0"/>
                <w:color w:val="000000"/>
                <w:kern w:val="0"/>
                <w:sz w:val="18"/>
                <w:szCs w:val="18"/>
                <w:highlight w:val="none"/>
                <w:u w:val="none"/>
                <w:lang w:val="en-US" w:eastAsia="zh-CN" w:bidi="ar"/>
              </w:rPr>
            </w:pPr>
          </w:p>
        </w:tc>
        <w:tc>
          <w:tcPr>
            <w:tcW w:w="268" w:type="pct"/>
            <w:vMerge w:val="continue"/>
            <w:tcBorders>
              <w:left w:val="single" w:color="000000" w:sz="4" w:space="0"/>
              <w:right w:val="single" w:color="000000" w:sz="4" w:space="0"/>
            </w:tcBorders>
            <w:noWrap w:val="0"/>
            <w:vAlign w:val="center"/>
          </w:tcPr>
          <w:p w14:paraId="00892264">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黑体" w:hAnsi="黑体" w:eastAsia="黑体" w:cs="黑体"/>
                <w:i w:val="0"/>
                <w:iCs w:val="0"/>
                <w:color w:val="000000"/>
                <w:kern w:val="0"/>
                <w:sz w:val="18"/>
                <w:szCs w:val="18"/>
                <w:highlight w:val="none"/>
                <w:u w:val="none"/>
                <w:lang w:val="en-US" w:eastAsia="zh-CN" w:bidi="ar"/>
              </w:rPr>
            </w:pPr>
          </w:p>
        </w:tc>
      </w:tr>
      <w:tr w14:paraId="548579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50" w:hRule="atLeast"/>
        </w:trPr>
        <w:tc>
          <w:tcPr>
            <w:tcW w:w="409" w:type="pct"/>
            <w:vMerge w:val="continue"/>
            <w:tcBorders>
              <w:top w:val="single" w:color="000000" w:sz="4" w:space="0"/>
              <w:left w:val="single" w:color="000000" w:sz="4" w:space="0"/>
              <w:bottom w:val="single" w:color="000000" w:sz="4" w:space="0"/>
              <w:right w:val="single" w:color="000000" w:sz="4" w:space="0"/>
            </w:tcBorders>
            <w:noWrap w:val="0"/>
            <w:vAlign w:val="center"/>
          </w:tcPr>
          <w:p w14:paraId="6AEDA900">
            <w:pPr>
              <w:keepNext w:val="0"/>
              <w:keepLines w:val="0"/>
              <w:pageBreakBefore w:val="0"/>
              <w:kinsoku/>
              <w:wordWrap/>
              <w:overflowPunct/>
              <w:topLinePunct w:val="0"/>
              <w:autoSpaceDE/>
              <w:autoSpaceDN/>
              <w:bidi w:val="0"/>
              <w:adjustRightInd/>
              <w:snapToGrid/>
              <w:spacing w:line="360" w:lineRule="auto"/>
              <w:jc w:val="center"/>
              <w:rPr>
                <w:rFonts w:hint="eastAsia" w:ascii="黑体" w:hAnsi="黑体" w:eastAsia="黑体" w:cs="黑体"/>
                <w:b/>
                <w:bCs/>
                <w:i w:val="0"/>
                <w:iCs w:val="0"/>
                <w:color w:val="000000"/>
                <w:sz w:val="18"/>
                <w:szCs w:val="18"/>
                <w:highlight w:val="none"/>
                <w:u w:val="none"/>
              </w:rPr>
            </w:pPr>
          </w:p>
        </w:tc>
        <w:tc>
          <w:tcPr>
            <w:tcW w:w="271" w:type="pct"/>
            <w:vMerge w:val="continue"/>
            <w:tcBorders>
              <w:left w:val="single" w:color="000000" w:sz="4" w:space="0"/>
              <w:right w:val="single" w:color="000000" w:sz="4" w:space="0"/>
            </w:tcBorders>
            <w:noWrap w:val="0"/>
            <w:vAlign w:val="center"/>
          </w:tcPr>
          <w:p w14:paraId="502D2776">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黑体" w:hAnsi="黑体" w:eastAsia="黑体" w:cs="黑体"/>
                <w:i w:val="0"/>
                <w:iCs w:val="0"/>
                <w:color w:val="000000"/>
                <w:kern w:val="0"/>
                <w:sz w:val="18"/>
                <w:szCs w:val="18"/>
                <w:highlight w:val="none"/>
                <w:u w:val="none"/>
                <w:lang w:val="en-US" w:eastAsia="zh-CN" w:bidi="ar"/>
              </w:rPr>
            </w:pPr>
          </w:p>
        </w:tc>
        <w:tc>
          <w:tcPr>
            <w:tcW w:w="3853" w:type="pct"/>
            <w:tcBorders>
              <w:top w:val="single" w:color="000000" w:sz="4" w:space="0"/>
              <w:left w:val="single" w:color="000000" w:sz="4" w:space="0"/>
              <w:bottom w:val="single" w:color="000000" w:sz="4" w:space="0"/>
              <w:right w:val="single" w:color="000000" w:sz="4" w:space="0"/>
            </w:tcBorders>
            <w:noWrap w:val="0"/>
            <w:vAlign w:val="center"/>
          </w:tcPr>
          <w:p w14:paraId="06F2EA40">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1.长度180mm，头部右侧45°弯曲，刃面镶有合金片，指圈一片镀金、一片镀黑。</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2.与人体接触部位采用进口医用不锈钢制造，该材料化学成分符合YY/T 0294.1-2016《外科器械金属材料第1部分：不锈钢》，材料应经热处理，硬度40-48HRC。</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3.器械外表面刷光，不得有锋棱、毛刺及明显的碰伤和划痕，其表面粗糙度不大于0.4μmm。</w:t>
            </w:r>
          </w:p>
        </w:tc>
        <w:tc>
          <w:tcPr>
            <w:tcW w:w="197" w:type="pct"/>
            <w:vMerge w:val="continue"/>
            <w:tcBorders>
              <w:left w:val="single" w:color="000000" w:sz="4" w:space="0"/>
              <w:right w:val="single" w:color="000000" w:sz="4" w:space="0"/>
            </w:tcBorders>
            <w:noWrap w:val="0"/>
            <w:vAlign w:val="center"/>
          </w:tcPr>
          <w:p w14:paraId="4EE1B7E7">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黑体" w:hAnsi="黑体" w:eastAsia="黑体" w:cs="黑体"/>
                <w:i w:val="0"/>
                <w:iCs w:val="0"/>
                <w:color w:val="000000"/>
                <w:kern w:val="0"/>
                <w:sz w:val="18"/>
                <w:szCs w:val="18"/>
                <w:highlight w:val="none"/>
                <w:u w:val="none"/>
                <w:lang w:val="en-US" w:eastAsia="zh-CN" w:bidi="ar"/>
              </w:rPr>
            </w:pPr>
          </w:p>
        </w:tc>
        <w:tc>
          <w:tcPr>
            <w:tcW w:w="268" w:type="pct"/>
            <w:vMerge w:val="continue"/>
            <w:tcBorders>
              <w:left w:val="single" w:color="000000" w:sz="4" w:space="0"/>
              <w:right w:val="single" w:color="000000" w:sz="4" w:space="0"/>
            </w:tcBorders>
            <w:noWrap w:val="0"/>
            <w:vAlign w:val="center"/>
          </w:tcPr>
          <w:p w14:paraId="256B5AFF">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黑体" w:hAnsi="黑体" w:eastAsia="黑体" w:cs="黑体"/>
                <w:i w:val="0"/>
                <w:iCs w:val="0"/>
                <w:color w:val="000000"/>
                <w:kern w:val="0"/>
                <w:sz w:val="18"/>
                <w:szCs w:val="18"/>
                <w:highlight w:val="none"/>
                <w:u w:val="none"/>
                <w:lang w:val="en-US" w:eastAsia="zh-CN" w:bidi="ar"/>
              </w:rPr>
            </w:pPr>
          </w:p>
        </w:tc>
      </w:tr>
      <w:tr w14:paraId="5DA739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50" w:hRule="atLeast"/>
        </w:trPr>
        <w:tc>
          <w:tcPr>
            <w:tcW w:w="409" w:type="pct"/>
            <w:vMerge w:val="continue"/>
            <w:tcBorders>
              <w:top w:val="single" w:color="000000" w:sz="4" w:space="0"/>
              <w:left w:val="single" w:color="000000" w:sz="4" w:space="0"/>
              <w:bottom w:val="single" w:color="000000" w:sz="4" w:space="0"/>
              <w:right w:val="single" w:color="000000" w:sz="4" w:space="0"/>
            </w:tcBorders>
            <w:noWrap w:val="0"/>
            <w:vAlign w:val="center"/>
          </w:tcPr>
          <w:p w14:paraId="07C748FE">
            <w:pPr>
              <w:keepNext w:val="0"/>
              <w:keepLines w:val="0"/>
              <w:pageBreakBefore w:val="0"/>
              <w:kinsoku/>
              <w:wordWrap/>
              <w:overflowPunct/>
              <w:topLinePunct w:val="0"/>
              <w:autoSpaceDE/>
              <w:autoSpaceDN/>
              <w:bidi w:val="0"/>
              <w:adjustRightInd/>
              <w:snapToGrid/>
              <w:spacing w:line="360" w:lineRule="auto"/>
              <w:jc w:val="center"/>
              <w:rPr>
                <w:rFonts w:hint="eastAsia" w:ascii="黑体" w:hAnsi="黑体" w:eastAsia="黑体" w:cs="黑体"/>
                <w:b/>
                <w:bCs/>
                <w:i w:val="0"/>
                <w:iCs w:val="0"/>
                <w:color w:val="000000"/>
                <w:sz w:val="18"/>
                <w:szCs w:val="18"/>
                <w:highlight w:val="none"/>
                <w:u w:val="none"/>
              </w:rPr>
            </w:pPr>
          </w:p>
        </w:tc>
        <w:tc>
          <w:tcPr>
            <w:tcW w:w="271" w:type="pct"/>
            <w:vMerge w:val="continue"/>
            <w:tcBorders>
              <w:left w:val="single" w:color="000000" w:sz="4" w:space="0"/>
              <w:right w:val="single" w:color="000000" w:sz="4" w:space="0"/>
            </w:tcBorders>
            <w:noWrap w:val="0"/>
            <w:vAlign w:val="center"/>
          </w:tcPr>
          <w:p w14:paraId="7E0F40EB">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黑体" w:hAnsi="黑体" w:eastAsia="黑体" w:cs="黑体"/>
                <w:i w:val="0"/>
                <w:iCs w:val="0"/>
                <w:color w:val="000000"/>
                <w:kern w:val="0"/>
                <w:sz w:val="18"/>
                <w:szCs w:val="18"/>
                <w:highlight w:val="none"/>
                <w:u w:val="none"/>
                <w:lang w:val="en-US" w:eastAsia="zh-CN" w:bidi="ar"/>
              </w:rPr>
            </w:pPr>
          </w:p>
        </w:tc>
        <w:tc>
          <w:tcPr>
            <w:tcW w:w="3853" w:type="pct"/>
            <w:tcBorders>
              <w:top w:val="single" w:color="000000" w:sz="4" w:space="0"/>
              <w:left w:val="single" w:color="000000" w:sz="4" w:space="0"/>
              <w:bottom w:val="single" w:color="000000" w:sz="4" w:space="0"/>
              <w:right w:val="single" w:color="000000" w:sz="4" w:space="0"/>
            </w:tcBorders>
            <w:noWrap w:val="0"/>
            <w:vAlign w:val="center"/>
          </w:tcPr>
          <w:p w14:paraId="5D7D3A2C">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1.总长130mm，弯型，弯高17mm，弯柄，无损伤Debakey齿。</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2.与患者间接接触部分的金属材料采用医用不锈钢材料制造，该材料化学成分符合GB_T 3280-2015，应经热处理，其硬度为40HRC-48HRC。</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3.器械外表面刷光，不得有锋棱、毛刺及明显的碰伤和划痕，其表面粗糙度Ra之值为：不大于0.4μmm。</w:t>
            </w:r>
          </w:p>
        </w:tc>
        <w:tc>
          <w:tcPr>
            <w:tcW w:w="197" w:type="pct"/>
            <w:vMerge w:val="continue"/>
            <w:tcBorders>
              <w:left w:val="single" w:color="000000" w:sz="4" w:space="0"/>
              <w:right w:val="single" w:color="000000" w:sz="4" w:space="0"/>
            </w:tcBorders>
            <w:noWrap w:val="0"/>
            <w:vAlign w:val="center"/>
          </w:tcPr>
          <w:p w14:paraId="607E61BE">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黑体" w:hAnsi="黑体" w:eastAsia="黑体" w:cs="黑体"/>
                <w:i w:val="0"/>
                <w:iCs w:val="0"/>
                <w:color w:val="000000"/>
                <w:kern w:val="0"/>
                <w:sz w:val="18"/>
                <w:szCs w:val="18"/>
                <w:highlight w:val="none"/>
                <w:u w:val="none"/>
                <w:lang w:val="en-US" w:eastAsia="zh-CN" w:bidi="ar"/>
              </w:rPr>
            </w:pPr>
          </w:p>
        </w:tc>
        <w:tc>
          <w:tcPr>
            <w:tcW w:w="268" w:type="pct"/>
            <w:vMerge w:val="continue"/>
            <w:tcBorders>
              <w:left w:val="single" w:color="000000" w:sz="4" w:space="0"/>
              <w:right w:val="single" w:color="000000" w:sz="4" w:space="0"/>
            </w:tcBorders>
            <w:noWrap w:val="0"/>
            <w:vAlign w:val="center"/>
          </w:tcPr>
          <w:p w14:paraId="6F2A6777">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黑体" w:hAnsi="黑体" w:eastAsia="黑体" w:cs="黑体"/>
                <w:i w:val="0"/>
                <w:iCs w:val="0"/>
                <w:color w:val="000000"/>
                <w:kern w:val="0"/>
                <w:sz w:val="18"/>
                <w:szCs w:val="18"/>
                <w:highlight w:val="none"/>
                <w:u w:val="none"/>
                <w:lang w:val="en-US" w:eastAsia="zh-CN" w:bidi="ar"/>
              </w:rPr>
            </w:pPr>
          </w:p>
        </w:tc>
      </w:tr>
      <w:tr w14:paraId="03DF36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trPr>
        <w:tc>
          <w:tcPr>
            <w:tcW w:w="409" w:type="pct"/>
            <w:vMerge w:val="continue"/>
            <w:tcBorders>
              <w:top w:val="single" w:color="000000" w:sz="4" w:space="0"/>
              <w:left w:val="single" w:color="000000" w:sz="4" w:space="0"/>
              <w:bottom w:val="single" w:color="000000" w:sz="4" w:space="0"/>
              <w:right w:val="single" w:color="000000" w:sz="4" w:space="0"/>
            </w:tcBorders>
            <w:noWrap w:val="0"/>
            <w:vAlign w:val="center"/>
          </w:tcPr>
          <w:p w14:paraId="3EC8BEBF">
            <w:pPr>
              <w:keepNext w:val="0"/>
              <w:keepLines w:val="0"/>
              <w:pageBreakBefore w:val="0"/>
              <w:kinsoku/>
              <w:wordWrap/>
              <w:overflowPunct/>
              <w:topLinePunct w:val="0"/>
              <w:autoSpaceDE/>
              <w:autoSpaceDN/>
              <w:bidi w:val="0"/>
              <w:adjustRightInd/>
              <w:snapToGrid/>
              <w:spacing w:line="360" w:lineRule="auto"/>
              <w:jc w:val="center"/>
              <w:rPr>
                <w:rFonts w:hint="eastAsia" w:ascii="黑体" w:hAnsi="黑体" w:eastAsia="黑体" w:cs="黑体"/>
                <w:b/>
                <w:bCs/>
                <w:i w:val="0"/>
                <w:iCs w:val="0"/>
                <w:color w:val="000000"/>
                <w:sz w:val="18"/>
                <w:szCs w:val="18"/>
                <w:highlight w:val="none"/>
                <w:u w:val="none"/>
              </w:rPr>
            </w:pPr>
          </w:p>
        </w:tc>
        <w:tc>
          <w:tcPr>
            <w:tcW w:w="271" w:type="pct"/>
            <w:vMerge w:val="continue"/>
            <w:tcBorders>
              <w:left w:val="single" w:color="000000" w:sz="4" w:space="0"/>
              <w:right w:val="single" w:color="000000" w:sz="4" w:space="0"/>
            </w:tcBorders>
            <w:noWrap w:val="0"/>
            <w:vAlign w:val="center"/>
          </w:tcPr>
          <w:p w14:paraId="12048145">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黑体" w:hAnsi="黑体" w:eastAsia="黑体" w:cs="黑体"/>
                <w:i w:val="0"/>
                <w:iCs w:val="0"/>
                <w:color w:val="000000"/>
                <w:kern w:val="0"/>
                <w:sz w:val="18"/>
                <w:szCs w:val="18"/>
                <w:highlight w:val="none"/>
                <w:u w:val="none"/>
                <w:lang w:val="en-US" w:eastAsia="zh-CN" w:bidi="ar"/>
              </w:rPr>
            </w:pPr>
          </w:p>
        </w:tc>
        <w:tc>
          <w:tcPr>
            <w:tcW w:w="3853" w:type="pct"/>
            <w:tcBorders>
              <w:top w:val="single" w:color="000000" w:sz="4" w:space="0"/>
              <w:left w:val="single" w:color="000000" w:sz="4" w:space="0"/>
              <w:bottom w:val="single" w:color="000000" w:sz="4" w:space="0"/>
              <w:right w:val="single" w:color="000000" w:sz="4" w:space="0"/>
            </w:tcBorders>
            <w:noWrap w:val="0"/>
            <w:vAlign w:val="center"/>
          </w:tcPr>
          <w:p w14:paraId="1958E238">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1.长110mm，下弯，反力式。</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2.与患者间接接触部分的金属材料采用钛合金材料，轻便。</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3.器械外表面氧化发蓝处理，不得有锋棱、毛刺及明显的碰伤和划痕，其表面粗糙度不大于0.4μmm。</w:t>
            </w:r>
          </w:p>
        </w:tc>
        <w:tc>
          <w:tcPr>
            <w:tcW w:w="197" w:type="pct"/>
            <w:vMerge w:val="continue"/>
            <w:tcBorders>
              <w:left w:val="single" w:color="000000" w:sz="4" w:space="0"/>
              <w:right w:val="single" w:color="000000" w:sz="4" w:space="0"/>
            </w:tcBorders>
            <w:noWrap w:val="0"/>
            <w:vAlign w:val="center"/>
          </w:tcPr>
          <w:p w14:paraId="478D20B9">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黑体" w:hAnsi="黑体" w:eastAsia="黑体" w:cs="黑体"/>
                <w:i w:val="0"/>
                <w:iCs w:val="0"/>
                <w:color w:val="000000"/>
                <w:kern w:val="0"/>
                <w:sz w:val="18"/>
                <w:szCs w:val="18"/>
                <w:highlight w:val="none"/>
                <w:u w:val="none"/>
                <w:lang w:val="en-US" w:eastAsia="zh-CN" w:bidi="ar"/>
              </w:rPr>
            </w:pPr>
          </w:p>
        </w:tc>
        <w:tc>
          <w:tcPr>
            <w:tcW w:w="268" w:type="pct"/>
            <w:vMerge w:val="continue"/>
            <w:tcBorders>
              <w:left w:val="single" w:color="000000" w:sz="4" w:space="0"/>
              <w:right w:val="single" w:color="000000" w:sz="4" w:space="0"/>
            </w:tcBorders>
            <w:noWrap w:val="0"/>
            <w:vAlign w:val="center"/>
          </w:tcPr>
          <w:p w14:paraId="11808DD3">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黑体" w:hAnsi="黑体" w:eastAsia="黑体" w:cs="黑体"/>
                <w:i w:val="0"/>
                <w:iCs w:val="0"/>
                <w:color w:val="000000"/>
                <w:kern w:val="0"/>
                <w:sz w:val="18"/>
                <w:szCs w:val="18"/>
                <w:highlight w:val="none"/>
                <w:u w:val="none"/>
                <w:lang w:val="en-US" w:eastAsia="zh-CN" w:bidi="ar"/>
              </w:rPr>
            </w:pPr>
          </w:p>
        </w:tc>
      </w:tr>
      <w:tr w14:paraId="4FD7B8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50" w:hRule="atLeast"/>
        </w:trPr>
        <w:tc>
          <w:tcPr>
            <w:tcW w:w="409" w:type="pct"/>
            <w:vMerge w:val="continue"/>
            <w:tcBorders>
              <w:top w:val="single" w:color="000000" w:sz="4" w:space="0"/>
              <w:left w:val="single" w:color="000000" w:sz="4" w:space="0"/>
              <w:bottom w:val="single" w:color="000000" w:sz="4" w:space="0"/>
              <w:right w:val="single" w:color="000000" w:sz="4" w:space="0"/>
            </w:tcBorders>
            <w:noWrap w:val="0"/>
            <w:vAlign w:val="center"/>
          </w:tcPr>
          <w:p w14:paraId="3C6AF21C">
            <w:pPr>
              <w:keepNext w:val="0"/>
              <w:keepLines w:val="0"/>
              <w:pageBreakBefore w:val="0"/>
              <w:kinsoku/>
              <w:wordWrap/>
              <w:overflowPunct/>
              <w:topLinePunct w:val="0"/>
              <w:autoSpaceDE/>
              <w:autoSpaceDN/>
              <w:bidi w:val="0"/>
              <w:adjustRightInd/>
              <w:snapToGrid/>
              <w:spacing w:line="360" w:lineRule="auto"/>
              <w:jc w:val="center"/>
              <w:rPr>
                <w:rFonts w:hint="eastAsia" w:ascii="黑体" w:hAnsi="黑体" w:eastAsia="黑体" w:cs="黑体"/>
                <w:b/>
                <w:bCs/>
                <w:i w:val="0"/>
                <w:iCs w:val="0"/>
                <w:color w:val="000000"/>
                <w:sz w:val="18"/>
                <w:szCs w:val="18"/>
                <w:highlight w:val="none"/>
                <w:u w:val="none"/>
              </w:rPr>
            </w:pPr>
          </w:p>
        </w:tc>
        <w:tc>
          <w:tcPr>
            <w:tcW w:w="271" w:type="pct"/>
            <w:vMerge w:val="continue"/>
            <w:tcBorders>
              <w:left w:val="single" w:color="000000" w:sz="4" w:space="0"/>
              <w:bottom w:val="single" w:color="000000" w:sz="4" w:space="0"/>
              <w:right w:val="single" w:color="000000" w:sz="4" w:space="0"/>
            </w:tcBorders>
            <w:noWrap w:val="0"/>
            <w:vAlign w:val="center"/>
          </w:tcPr>
          <w:p w14:paraId="0D9E74C4">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黑体" w:hAnsi="黑体" w:eastAsia="黑体" w:cs="黑体"/>
                <w:i w:val="0"/>
                <w:iCs w:val="0"/>
                <w:color w:val="000000"/>
                <w:kern w:val="0"/>
                <w:sz w:val="18"/>
                <w:szCs w:val="18"/>
                <w:highlight w:val="none"/>
                <w:u w:val="none"/>
                <w:lang w:val="en-US" w:eastAsia="zh-CN" w:bidi="ar"/>
              </w:rPr>
            </w:pPr>
          </w:p>
        </w:tc>
        <w:tc>
          <w:tcPr>
            <w:tcW w:w="3853" w:type="pct"/>
            <w:tcBorders>
              <w:top w:val="single" w:color="000000" w:sz="4" w:space="0"/>
              <w:left w:val="single" w:color="000000" w:sz="4" w:space="0"/>
              <w:bottom w:val="single" w:color="000000" w:sz="4" w:space="0"/>
              <w:right w:val="single" w:color="000000" w:sz="4" w:space="0"/>
            </w:tcBorders>
            <w:noWrap w:val="0"/>
            <w:vAlign w:val="center"/>
          </w:tcPr>
          <w:p w14:paraId="17A31323">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1.长度210mm，弯头，圆柄，簧式，带自锁功能。</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2.头部采用钛合金制造，该材料化学成分符合GB/T 3620.1-2016《钛及钛合金牌号和化学成分》标准的要求，硬度不低于300HV0.2。</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3.器械外表面氧化发蓝，不得有锋棱、毛刺及明显的碰伤和划痕，其表面粗糙度不大于0.8μmm。</w:t>
            </w:r>
          </w:p>
        </w:tc>
        <w:tc>
          <w:tcPr>
            <w:tcW w:w="197" w:type="pct"/>
            <w:vMerge w:val="continue"/>
            <w:tcBorders>
              <w:left w:val="single" w:color="000000" w:sz="4" w:space="0"/>
              <w:bottom w:val="single" w:color="000000" w:sz="4" w:space="0"/>
              <w:right w:val="single" w:color="000000" w:sz="4" w:space="0"/>
            </w:tcBorders>
            <w:noWrap w:val="0"/>
            <w:vAlign w:val="center"/>
          </w:tcPr>
          <w:p w14:paraId="5AD1404E">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黑体" w:hAnsi="黑体" w:eastAsia="黑体" w:cs="黑体"/>
                <w:i w:val="0"/>
                <w:iCs w:val="0"/>
                <w:color w:val="000000"/>
                <w:kern w:val="0"/>
                <w:sz w:val="18"/>
                <w:szCs w:val="18"/>
                <w:highlight w:val="none"/>
                <w:u w:val="none"/>
                <w:lang w:val="en-US" w:eastAsia="zh-CN" w:bidi="ar"/>
              </w:rPr>
            </w:pPr>
          </w:p>
        </w:tc>
        <w:tc>
          <w:tcPr>
            <w:tcW w:w="268" w:type="pct"/>
            <w:vMerge w:val="continue"/>
            <w:tcBorders>
              <w:left w:val="single" w:color="000000" w:sz="4" w:space="0"/>
              <w:bottom w:val="single" w:color="000000" w:sz="4" w:space="0"/>
              <w:right w:val="single" w:color="000000" w:sz="4" w:space="0"/>
            </w:tcBorders>
            <w:noWrap w:val="0"/>
            <w:vAlign w:val="center"/>
          </w:tcPr>
          <w:p w14:paraId="790DE541">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黑体" w:hAnsi="黑体" w:eastAsia="黑体" w:cs="黑体"/>
                <w:i w:val="0"/>
                <w:iCs w:val="0"/>
                <w:color w:val="000000"/>
                <w:kern w:val="0"/>
                <w:sz w:val="18"/>
                <w:szCs w:val="18"/>
                <w:highlight w:val="none"/>
                <w:u w:val="none"/>
                <w:lang w:val="en-US" w:eastAsia="zh-CN" w:bidi="ar"/>
              </w:rPr>
            </w:pPr>
          </w:p>
        </w:tc>
      </w:tr>
    </w:tbl>
    <w:p w14:paraId="309BA66A">
      <w:pPr>
        <w:rPr>
          <w:rFonts w:hint="eastAsia" w:ascii="黑体" w:hAnsi="黑体" w:eastAsia="黑体" w:cs="黑体"/>
          <w:b/>
          <w:bCs/>
          <w:sz w:val="18"/>
          <w:szCs w:val="18"/>
          <w:highlight w:val="none"/>
          <w:lang w:val="en-US" w:eastAsia="zh-CN"/>
        </w:rPr>
      </w:pPr>
      <w:r>
        <w:rPr>
          <w:rFonts w:hint="eastAsia" w:ascii="黑体" w:hAnsi="黑体" w:eastAsia="黑体" w:cs="黑体"/>
          <w:b/>
          <w:bCs/>
          <w:sz w:val="18"/>
          <w:szCs w:val="18"/>
          <w:highlight w:val="none"/>
          <w:lang w:val="en-US" w:eastAsia="zh-CN"/>
        </w:rPr>
        <w:br w:type="page"/>
      </w:r>
    </w:p>
    <w:p w14:paraId="1050F7D7">
      <w:pPr>
        <w:keepNext w:val="0"/>
        <w:keepLines w:val="0"/>
        <w:pageBreakBefore w:val="0"/>
        <w:kinsoku/>
        <w:wordWrap/>
        <w:overflowPunct/>
        <w:topLinePunct w:val="0"/>
        <w:autoSpaceDE/>
        <w:autoSpaceDN/>
        <w:bidi w:val="0"/>
        <w:adjustRightInd/>
        <w:snapToGrid/>
        <w:spacing w:line="360" w:lineRule="auto"/>
        <w:outlineLvl w:val="0"/>
        <w:rPr>
          <w:rFonts w:hint="eastAsia" w:ascii="黑体" w:hAnsi="黑体" w:eastAsia="黑体" w:cs="黑体"/>
          <w:b/>
          <w:bCs/>
          <w:sz w:val="18"/>
          <w:szCs w:val="18"/>
          <w:highlight w:val="none"/>
          <w:lang w:val="en-US" w:eastAsia="zh-CN"/>
        </w:rPr>
      </w:pPr>
      <w:r>
        <w:rPr>
          <w:rFonts w:hint="eastAsia" w:ascii="黑体" w:hAnsi="黑体" w:eastAsia="黑体" w:cs="黑体"/>
          <w:b/>
          <w:bCs/>
          <w:sz w:val="18"/>
          <w:szCs w:val="18"/>
          <w:highlight w:val="none"/>
          <w:lang w:val="en-US" w:eastAsia="zh-CN"/>
        </w:rPr>
        <w:t>二十三、导管室器械（2个为一套）</w:t>
      </w:r>
    </w:p>
    <w:tbl>
      <w:tblPr>
        <w:tblStyle w:val="2"/>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4"/>
        <w:gridCol w:w="461"/>
        <w:gridCol w:w="6568"/>
        <w:gridCol w:w="431"/>
        <w:gridCol w:w="365"/>
      </w:tblGrid>
      <w:tr w14:paraId="14B2A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0" w:hRule="atLeast"/>
        </w:trPr>
        <w:tc>
          <w:tcPr>
            <w:tcW w:w="407" w:type="pct"/>
            <w:vMerge w:val="restart"/>
            <w:noWrap/>
            <w:vAlign w:val="center"/>
          </w:tcPr>
          <w:p w14:paraId="6DA44D66">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b/>
                <w:bCs/>
                <w:i w:val="0"/>
                <w:iCs w:val="0"/>
                <w:color w:val="000000"/>
                <w:sz w:val="18"/>
                <w:szCs w:val="18"/>
                <w:highlight w:val="none"/>
                <w:u w:val="none"/>
              </w:rPr>
            </w:pPr>
            <w:r>
              <w:rPr>
                <w:rFonts w:hint="eastAsia" w:ascii="黑体" w:hAnsi="黑体" w:eastAsia="黑体" w:cs="黑体"/>
                <w:b/>
                <w:bCs/>
                <w:i w:val="0"/>
                <w:iCs w:val="0"/>
                <w:color w:val="000000"/>
                <w:kern w:val="0"/>
                <w:sz w:val="18"/>
                <w:szCs w:val="18"/>
                <w:highlight w:val="none"/>
                <w:u w:val="none"/>
                <w:lang w:val="en-US" w:eastAsia="zh-CN" w:bidi="ar"/>
              </w:rPr>
              <w:t>导管室</w:t>
            </w:r>
          </w:p>
        </w:tc>
        <w:tc>
          <w:tcPr>
            <w:tcW w:w="270" w:type="pct"/>
            <w:noWrap/>
            <w:vAlign w:val="bottom"/>
          </w:tcPr>
          <w:p w14:paraId="112D972B">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bottom"/>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不锈钢腰子盘</w:t>
            </w:r>
          </w:p>
        </w:tc>
        <w:tc>
          <w:tcPr>
            <w:tcW w:w="3854" w:type="pct"/>
            <w:noWrap w:val="0"/>
            <w:vAlign w:val="center"/>
          </w:tcPr>
          <w:p w14:paraId="6620BA6E">
            <w:pPr>
              <w:keepNext w:val="0"/>
              <w:keepLines w:val="0"/>
              <w:pageBreakBefore w:val="0"/>
              <w:widowControl/>
              <w:numPr>
                <w:ilvl w:val="0"/>
                <w:numId w:val="1"/>
              </w:numPr>
              <w:suppressLineNumbers w:val="0"/>
              <w:kinsoku/>
              <w:wordWrap/>
              <w:overflowPunct/>
              <w:topLinePunct w:val="0"/>
              <w:autoSpaceDE/>
              <w:autoSpaceDN/>
              <w:bidi w:val="0"/>
              <w:adjustRightInd/>
              <w:snapToGrid/>
              <w:spacing w:line="360" w:lineRule="auto"/>
              <w:jc w:val="left"/>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产品长205mm，宽130mm，高25mm，浅型。</w:t>
            </w:r>
          </w:p>
          <w:p w14:paraId="7068B9B8">
            <w:pPr>
              <w:keepNext w:val="0"/>
              <w:keepLines w:val="0"/>
              <w:pageBreakBefore w:val="0"/>
              <w:widowControl/>
              <w:numPr>
                <w:numId w:val="0"/>
              </w:numPr>
              <w:suppressLineNumbers w:val="0"/>
              <w:kinsoku/>
              <w:wordWrap/>
              <w:overflowPunct/>
              <w:topLinePunct w:val="0"/>
              <w:autoSpaceDE/>
              <w:autoSpaceDN/>
              <w:bidi w:val="0"/>
              <w:adjustRightInd/>
              <w:snapToGrid/>
              <w:spacing w:line="360" w:lineRule="auto"/>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2.与患者接触部分的金属材料采用医用不锈钢材料制造，该材料化学成分符合GB_T 4226-2009。</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3.外表面电镀处理，着色表面色泽应均匀，无明显色差。不得有锋棱、毛刺及明显的碰伤和划痕，其表面粗糙度Ra之值为：不大于0.4µmm。</w:t>
            </w:r>
          </w:p>
        </w:tc>
        <w:tc>
          <w:tcPr>
            <w:tcW w:w="252" w:type="pct"/>
            <w:vMerge w:val="restart"/>
            <w:noWrap w:val="0"/>
            <w:vAlign w:val="center"/>
          </w:tcPr>
          <w:p w14:paraId="2719B0F7">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20</w:t>
            </w:r>
          </w:p>
        </w:tc>
        <w:tc>
          <w:tcPr>
            <w:tcW w:w="214" w:type="pct"/>
            <w:vMerge w:val="restart"/>
            <w:noWrap w:val="0"/>
            <w:vAlign w:val="center"/>
          </w:tcPr>
          <w:p w14:paraId="53ED06CA">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套</w:t>
            </w:r>
          </w:p>
        </w:tc>
      </w:tr>
      <w:tr w14:paraId="31A3C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407" w:type="pct"/>
            <w:vMerge w:val="continue"/>
            <w:noWrap/>
            <w:vAlign w:val="center"/>
          </w:tcPr>
          <w:p w14:paraId="79DF4C12">
            <w:pPr>
              <w:keepNext w:val="0"/>
              <w:keepLines w:val="0"/>
              <w:pageBreakBefore w:val="0"/>
              <w:kinsoku/>
              <w:wordWrap/>
              <w:overflowPunct/>
              <w:topLinePunct w:val="0"/>
              <w:autoSpaceDE/>
              <w:autoSpaceDN/>
              <w:bidi w:val="0"/>
              <w:adjustRightInd/>
              <w:snapToGrid/>
              <w:spacing w:line="360" w:lineRule="auto"/>
              <w:jc w:val="center"/>
              <w:rPr>
                <w:rFonts w:hint="eastAsia" w:ascii="黑体" w:hAnsi="黑体" w:eastAsia="黑体" w:cs="黑体"/>
                <w:b/>
                <w:bCs/>
                <w:i w:val="0"/>
                <w:iCs w:val="0"/>
                <w:color w:val="000000"/>
                <w:sz w:val="18"/>
                <w:szCs w:val="18"/>
                <w:highlight w:val="none"/>
                <w:u w:val="none"/>
              </w:rPr>
            </w:pPr>
          </w:p>
        </w:tc>
        <w:tc>
          <w:tcPr>
            <w:tcW w:w="270" w:type="pct"/>
            <w:noWrap/>
            <w:vAlign w:val="bottom"/>
          </w:tcPr>
          <w:p w14:paraId="0342F076">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bottom"/>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不锈钢换药碗</w:t>
            </w:r>
          </w:p>
        </w:tc>
        <w:tc>
          <w:tcPr>
            <w:tcW w:w="3854" w:type="pct"/>
            <w:noWrap w:val="0"/>
            <w:vAlign w:val="center"/>
          </w:tcPr>
          <w:p w14:paraId="0604F035">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1.产品直径160mm一个，140mm一个。</w:t>
            </w:r>
          </w:p>
          <w:p w14:paraId="239C191B">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2.与患者接触部分的金属材料采用医用不锈钢材料制造，该材料化学成分符合GB_T 4226-2009。</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3.外表面电镀处理，着色表面色泽应均匀，无明显色差。不得有锋棱、毛刺及明显的碰伤和划痕，其表面粗糙度Ra之值为：不大于0.4µmm。</w:t>
            </w:r>
          </w:p>
        </w:tc>
        <w:tc>
          <w:tcPr>
            <w:tcW w:w="252" w:type="pct"/>
            <w:vMerge w:val="continue"/>
            <w:noWrap w:val="0"/>
            <w:vAlign w:val="center"/>
          </w:tcPr>
          <w:p w14:paraId="5049D13D">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黑体" w:hAnsi="黑体" w:eastAsia="黑体" w:cs="黑体"/>
                <w:i w:val="0"/>
                <w:iCs w:val="0"/>
                <w:color w:val="000000"/>
                <w:kern w:val="0"/>
                <w:sz w:val="18"/>
                <w:szCs w:val="18"/>
                <w:highlight w:val="none"/>
                <w:u w:val="none"/>
                <w:lang w:val="en-US" w:eastAsia="zh-CN" w:bidi="ar"/>
              </w:rPr>
            </w:pPr>
          </w:p>
        </w:tc>
        <w:tc>
          <w:tcPr>
            <w:tcW w:w="214" w:type="pct"/>
            <w:vMerge w:val="continue"/>
            <w:noWrap w:val="0"/>
            <w:vAlign w:val="center"/>
          </w:tcPr>
          <w:p w14:paraId="63D89118">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黑体" w:hAnsi="黑体" w:eastAsia="黑体" w:cs="黑体"/>
                <w:i w:val="0"/>
                <w:iCs w:val="0"/>
                <w:color w:val="000000"/>
                <w:kern w:val="0"/>
                <w:sz w:val="18"/>
                <w:szCs w:val="18"/>
                <w:highlight w:val="none"/>
                <w:u w:val="none"/>
                <w:lang w:val="en-US" w:eastAsia="zh-CN" w:bidi="ar"/>
              </w:rPr>
            </w:pPr>
          </w:p>
        </w:tc>
      </w:tr>
      <w:tr w14:paraId="36BF21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0" w:hRule="atLeast"/>
        </w:trPr>
        <w:tc>
          <w:tcPr>
            <w:tcW w:w="407" w:type="pct"/>
            <w:vMerge w:val="continue"/>
            <w:noWrap/>
            <w:vAlign w:val="center"/>
          </w:tcPr>
          <w:p w14:paraId="654AAA2B">
            <w:pPr>
              <w:keepNext w:val="0"/>
              <w:keepLines w:val="0"/>
              <w:pageBreakBefore w:val="0"/>
              <w:kinsoku/>
              <w:wordWrap/>
              <w:overflowPunct/>
              <w:topLinePunct w:val="0"/>
              <w:autoSpaceDE/>
              <w:autoSpaceDN/>
              <w:bidi w:val="0"/>
              <w:adjustRightInd/>
              <w:snapToGrid/>
              <w:spacing w:line="360" w:lineRule="auto"/>
              <w:jc w:val="center"/>
              <w:rPr>
                <w:rFonts w:hint="eastAsia" w:ascii="黑体" w:hAnsi="黑体" w:eastAsia="黑体" w:cs="黑体"/>
                <w:b/>
                <w:bCs/>
                <w:i w:val="0"/>
                <w:iCs w:val="0"/>
                <w:color w:val="000000"/>
                <w:sz w:val="18"/>
                <w:szCs w:val="18"/>
                <w:highlight w:val="none"/>
                <w:u w:val="none"/>
              </w:rPr>
            </w:pPr>
          </w:p>
        </w:tc>
        <w:tc>
          <w:tcPr>
            <w:tcW w:w="270" w:type="pct"/>
            <w:noWrap/>
            <w:vAlign w:val="bottom"/>
          </w:tcPr>
          <w:p w14:paraId="3147DF3D">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bottom"/>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不锈钢服药杯</w:t>
            </w:r>
          </w:p>
        </w:tc>
        <w:tc>
          <w:tcPr>
            <w:tcW w:w="3854" w:type="pct"/>
            <w:noWrap w:val="0"/>
            <w:vAlign w:val="center"/>
          </w:tcPr>
          <w:p w14:paraId="17649C6D">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1、产品50ml。</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2.与患者接触部分的金属材料采用医用不锈钢材料制造，该材料化学成分符合GB_T 4226-2009。</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3.外表面刷光处理，着色表面色泽应均匀，无明显色差。不得有锋棱、毛刺及明显的碰伤和划痕，其表面粗糙度Ra之值为：不大于0.8µmm。</w:t>
            </w:r>
          </w:p>
        </w:tc>
        <w:tc>
          <w:tcPr>
            <w:tcW w:w="252" w:type="pct"/>
            <w:vMerge w:val="continue"/>
            <w:noWrap w:val="0"/>
            <w:vAlign w:val="center"/>
          </w:tcPr>
          <w:p w14:paraId="35AE230F">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黑体" w:hAnsi="黑体" w:eastAsia="黑体" w:cs="黑体"/>
                <w:i w:val="0"/>
                <w:iCs w:val="0"/>
                <w:color w:val="000000"/>
                <w:kern w:val="0"/>
                <w:sz w:val="18"/>
                <w:szCs w:val="18"/>
                <w:highlight w:val="none"/>
                <w:u w:val="none"/>
                <w:lang w:val="en-US" w:eastAsia="zh-CN" w:bidi="ar"/>
              </w:rPr>
            </w:pPr>
          </w:p>
        </w:tc>
        <w:tc>
          <w:tcPr>
            <w:tcW w:w="214" w:type="pct"/>
            <w:vMerge w:val="continue"/>
            <w:noWrap w:val="0"/>
            <w:vAlign w:val="center"/>
          </w:tcPr>
          <w:p w14:paraId="446057D0">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黑体" w:hAnsi="黑体" w:eastAsia="黑体" w:cs="黑体"/>
                <w:i w:val="0"/>
                <w:iCs w:val="0"/>
                <w:color w:val="000000"/>
                <w:kern w:val="0"/>
                <w:sz w:val="18"/>
                <w:szCs w:val="18"/>
                <w:highlight w:val="none"/>
                <w:u w:val="none"/>
                <w:lang w:val="en-US" w:eastAsia="zh-CN" w:bidi="ar"/>
              </w:rPr>
            </w:pPr>
          </w:p>
        </w:tc>
      </w:tr>
      <w:tr w14:paraId="6D556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0" w:hRule="atLeast"/>
        </w:trPr>
        <w:tc>
          <w:tcPr>
            <w:tcW w:w="407" w:type="pct"/>
            <w:vMerge w:val="continue"/>
            <w:noWrap/>
            <w:vAlign w:val="center"/>
          </w:tcPr>
          <w:p w14:paraId="1689F6D3">
            <w:pPr>
              <w:keepNext w:val="0"/>
              <w:keepLines w:val="0"/>
              <w:pageBreakBefore w:val="0"/>
              <w:kinsoku/>
              <w:wordWrap/>
              <w:overflowPunct/>
              <w:topLinePunct w:val="0"/>
              <w:autoSpaceDE/>
              <w:autoSpaceDN/>
              <w:bidi w:val="0"/>
              <w:adjustRightInd/>
              <w:snapToGrid/>
              <w:spacing w:line="360" w:lineRule="auto"/>
              <w:jc w:val="center"/>
              <w:rPr>
                <w:rFonts w:hint="eastAsia" w:ascii="黑体" w:hAnsi="黑体" w:eastAsia="黑体" w:cs="黑体"/>
                <w:b/>
                <w:bCs/>
                <w:i w:val="0"/>
                <w:iCs w:val="0"/>
                <w:color w:val="000000"/>
                <w:sz w:val="18"/>
                <w:szCs w:val="18"/>
                <w:highlight w:val="none"/>
                <w:u w:val="none"/>
              </w:rPr>
            </w:pPr>
          </w:p>
        </w:tc>
        <w:tc>
          <w:tcPr>
            <w:tcW w:w="270" w:type="pct"/>
            <w:noWrap/>
            <w:vAlign w:val="bottom"/>
          </w:tcPr>
          <w:p w14:paraId="1A75CB21">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bottom"/>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止血钳</w:t>
            </w:r>
          </w:p>
        </w:tc>
        <w:tc>
          <w:tcPr>
            <w:tcW w:w="3854" w:type="pct"/>
            <w:noWrap w:val="0"/>
            <w:vAlign w:val="center"/>
          </w:tcPr>
          <w:p w14:paraId="4F51F95F">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1.总长160mm，弯型，弯头高度10mm，全齿，头宽2.5mm，头厚2mm。</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2.与患者接触部分采用医用不锈钢制造，该材料化学成分符合YY/T 0294.1-2016《外科器械金属材料第1部分：不锈钢》，应经热处理，硬度为40-48HRC。</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3.器械外表面电镀，不得有锋棱、毛刺及明显的碰伤和划痕，其表面粗糙度不大于0.4μmm。</w:t>
            </w:r>
          </w:p>
        </w:tc>
        <w:tc>
          <w:tcPr>
            <w:tcW w:w="252" w:type="pct"/>
            <w:vMerge w:val="continue"/>
            <w:noWrap w:val="0"/>
            <w:vAlign w:val="center"/>
          </w:tcPr>
          <w:p w14:paraId="1FA91D92">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黑体" w:hAnsi="黑体" w:eastAsia="黑体" w:cs="黑体"/>
                <w:i w:val="0"/>
                <w:iCs w:val="0"/>
                <w:color w:val="000000"/>
                <w:kern w:val="0"/>
                <w:sz w:val="18"/>
                <w:szCs w:val="18"/>
                <w:highlight w:val="none"/>
                <w:u w:val="none"/>
                <w:lang w:val="en-US" w:eastAsia="zh-CN" w:bidi="ar"/>
              </w:rPr>
            </w:pPr>
          </w:p>
        </w:tc>
        <w:tc>
          <w:tcPr>
            <w:tcW w:w="214" w:type="pct"/>
            <w:vMerge w:val="continue"/>
            <w:noWrap w:val="0"/>
            <w:vAlign w:val="center"/>
          </w:tcPr>
          <w:p w14:paraId="5C25C07C">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黑体" w:hAnsi="黑体" w:eastAsia="黑体" w:cs="黑体"/>
                <w:i w:val="0"/>
                <w:iCs w:val="0"/>
                <w:color w:val="000000"/>
                <w:kern w:val="0"/>
                <w:sz w:val="18"/>
                <w:szCs w:val="18"/>
                <w:highlight w:val="none"/>
                <w:u w:val="none"/>
                <w:lang w:val="en-US" w:eastAsia="zh-CN" w:bidi="ar"/>
              </w:rPr>
            </w:pPr>
          </w:p>
        </w:tc>
      </w:tr>
    </w:tbl>
    <w:p w14:paraId="55177EE9">
      <w:pPr>
        <w:keepNext w:val="0"/>
        <w:keepLines w:val="0"/>
        <w:pageBreakBefore w:val="0"/>
        <w:kinsoku/>
        <w:wordWrap/>
        <w:overflowPunct/>
        <w:topLinePunct w:val="0"/>
        <w:autoSpaceDE/>
        <w:autoSpaceDN/>
        <w:bidi w:val="0"/>
        <w:adjustRightInd/>
        <w:snapToGrid/>
        <w:spacing w:line="360" w:lineRule="auto"/>
        <w:outlineLvl w:val="0"/>
        <w:rPr>
          <w:rFonts w:hint="eastAsia" w:ascii="黑体" w:hAnsi="黑体" w:eastAsia="黑体" w:cs="黑体"/>
          <w:b/>
          <w:bCs/>
          <w:sz w:val="18"/>
          <w:szCs w:val="18"/>
          <w:highlight w:val="none"/>
          <w:lang w:val="en-US" w:eastAsia="zh-CN"/>
        </w:rPr>
      </w:pPr>
      <w:r>
        <w:rPr>
          <w:rFonts w:hint="eastAsia" w:ascii="黑体" w:hAnsi="黑体" w:eastAsia="黑体" w:cs="黑体"/>
          <w:b/>
          <w:bCs/>
          <w:sz w:val="18"/>
          <w:szCs w:val="18"/>
          <w:highlight w:val="none"/>
          <w:lang w:val="en-US" w:eastAsia="zh-CN"/>
        </w:rPr>
        <w:br w:type="page"/>
      </w:r>
      <w:r>
        <w:rPr>
          <w:rFonts w:hint="eastAsia" w:ascii="黑体" w:hAnsi="黑体" w:eastAsia="黑体" w:cs="黑体"/>
          <w:b/>
          <w:bCs/>
          <w:sz w:val="18"/>
          <w:szCs w:val="18"/>
          <w:highlight w:val="none"/>
          <w:lang w:val="en-US" w:eastAsia="zh-CN"/>
        </w:rPr>
        <w:t>二十四、骨科脊柱病区器械</w:t>
      </w:r>
    </w:p>
    <w:tbl>
      <w:tblPr>
        <w:tblStyle w:val="2"/>
        <w:tblW w:w="493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75"/>
        <w:gridCol w:w="476"/>
        <w:gridCol w:w="6479"/>
        <w:gridCol w:w="328"/>
        <w:gridCol w:w="458"/>
      </w:tblGrid>
      <w:tr w14:paraId="730CE5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400" w:type="pct"/>
            <w:vMerge w:val="restart"/>
            <w:tcBorders>
              <w:top w:val="single" w:color="000000" w:sz="4" w:space="0"/>
              <w:left w:val="single" w:color="000000" w:sz="4" w:space="0"/>
              <w:bottom w:val="single" w:color="000000" w:sz="4" w:space="0"/>
              <w:right w:val="single" w:color="000000" w:sz="4" w:space="0"/>
            </w:tcBorders>
            <w:noWrap w:val="0"/>
            <w:vAlign w:val="center"/>
          </w:tcPr>
          <w:p w14:paraId="758A6306">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b/>
                <w:bCs/>
                <w:i w:val="0"/>
                <w:iCs w:val="0"/>
                <w:color w:val="000000"/>
                <w:sz w:val="18"/>
                <w:szCs w:val="18"/>
                <w:highlight w:val="none"/>
                <w:u w:val="none"/>
              </w:rPr>
            </w:pPr>
            <w:r>
              <w:rPr>
                <w:rFonts w:hint="eastAsia" w:ascii="黑体" w:hAnsi="黑体" w:eastAsia="黑体" w:cs="黑体"/>
                <w:b/>
                <w:bCs/>
                <w:i w:val="0"/>
                <w:iCs w:val="0"/>
                <w:color w:val="000000"/>
                <w:kern w:val="0"/>
                <w:sz w:val="18"/>
                <w:szCs w:val="18"/>
                <w:highlight w:val="none"/>
                <w:u w:val="none"/>
                <w:lang w:val="en-US" w:eastAsia="zh-CN" w:bidi="ar"/>
              </w:rPr>
              <w:t>骨科</w:t>
            </w:r>
            <w:r>
              <w:rPr>
                <w:rFonts w:hint="eastAsia" w:ascii="黑体" w:hAnsi="黑体" w:eastAsia="黑体" w:cs="黑体"/>
                <w:b/>
                <w:bCs/>
                <w:i w:val="0"/>
                <w:iCs w:val="0"/>
                <w:color w:val="000000"/>
                <w:kern w:val="0"/>
                <w:sz w:val="18"/>
                <w:szCs w:val="18"/>
                <w:highlight w:val="none"/>
                <w:u w:val="none"/>
                <w:lang w:val="en-US" w:eastAsia="zh-CN" w:bidi="ar"/>
              </w:rPr>
              <w:br w:type="textWrapping"/>
            </w:r>
            <w:r>
              <w:rPr>
                <w:rFonts w:hint="eastAsia" w:ascii="黑体" w:hAnsi="黑体" w:eastAsia="黑体" w:cs="黑体"/>
                <w:b/>
                <w:bCs/>
                <w:i w:val="0"/>
                <w:iCs w:val="0"/>
                <w:color w:val="000000"/>
                <w:kern w:val="0"/>
                <w:sz w:val="18"/>
                <w:szCs w:val="18"/>
                <w:highlight w:val="none"/>
                <w:u w:val="none"/>
                <w:lang w:val="en-US" w:eastAsia="zh-CN" w:bidi="ar"/>
              </w:rPr>
              <w:t>脊柱病区</w:t>
            </w:r>
          </w:p>
        </w:tc>
        <w:tc>
          <w:tcPr>
            <w:tcW w:w="282" w:type="pct"/>
            <w:tcBorders>
              <w:top w:val="single" w:color="000000" w:sz="4" w:space="0"/>
              <w:left w:val="single" w:color="000000" w:sz="4" w:space="0"/>
              <w:bottom w:val="single" w:color="000000" w:sz="4" w:space="0"/>
              <w:right w:val="single" w:color="000000" w:sz="4" w:space="0"/>
            </w:tcBorders>
            <w:noWrap/>
            <w:vAlign w:val="center"/>
          </w:tcPr>
          <w:p w14:paraId="61663584">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椎板咬骨钳</w:t>
            </w:r>
          </w:p>
        </w:tc>
        <w:tc>
          <w:tcPr>
            <w:tcW w:w="3849" w:type="pct"/>
            <w:tcBorders>
              <w:top w:val="single" w:color="000000" w:sz="4" w:space="0"/>
              <w:left w:val="single" w:color="000000" w:sz="4" w:space="0"/>
              <w:bottom w:val="single" w:color="000000" w:sz="4" w:space="0"/>
              <w:right w:val="single" w:color="000000" w:sz="4" w:space="0"/>
            </w:tcBorders>
            <w:noWrap w:val="0"/>
            <w:vAlign w:val="center"/>
          </w:tcPr>
          <w:p w14:paraId="654368F3">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1.总长230mm，头宽1mm，开口10mm，刃口角度90°，刃口厚度为超薄型，长度公差±5mm。</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2.与人体接触部位材料采用不锈钢材料，该材料化学成分应符合GB/T 3280-2015，应经热处理，其硬度为48HRC-56HRC。</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3.产品金属表面PVD涂层处理，不得有锋棱、毛刺、裂纹及明显的碰伤和划伤，其表面粗糙度不大于0.4umm。</w:t>
            </w:r>
          </w:p>
        </w:tc>
        <w:tc>
          <w:tcPr>
            <w:tcW w:w="194" w:type="pct"/>
            <w:tcBorders>
              <w:top w:val="single" w:color="000000" w:sz="4" w:space="0"/>
              <w:left w:val="single" w:color="000000" w:sz="4" w:space="0"/>
              <w:bottom w:val="single" w:color="000000" w:sz="4" w:space="0"/>
              <w:right w:val="single" w:color="000000" w:sz="4" w:space="0"/>
            </w:tcBorders>
            <w:noWrap w:val="0"/>
            <w:vAlign w:val="center"/>
          </w:tcPr>
          <w:p w14:paraId="0D722C6B">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1</w:t>
            </w:r>
          </w:p>
        </w:tc>
        <w:tc>
          <w:tcPr>
            <w:tcW w:w="272" w:type="pct"/>
            <w:tcBorders>
              <w:top w:val="single" w:color="000000" w:sz="4" w:space="0"/>
              <w:left w:val="single" w:color="000000" w:sz="4" w:space="0"/>
              <w:bottom w:val="single" w:color="000000" w:sz="4" w:space="0"/>
              <w:right w:val="single" w:color="000000" w:sz="4" w:space="0"/>
            </w:tcBorders>
            <w:noWrap w:val="0"/>
            <w:vAlign w:val="center"/>
          </w:tcPr>
          <w:p w14:paraId="7F35B464">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把</w:t>
            </w:r>
          </w:p>
        </w:tc>
      </w:tr>
      <w:tr w14:paraId="0BAD29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400" w:type="pct"/>
            <w:vMerge w:val="continue"/>
            <w:tcBorders>
              <w:top w:val="single" w:color="000000" w:sz="4" w:space="0"/>
              <w:left w:val="single" w:color="000000" w:sz="4" w:space="0"/>
              <w:bottom w:val="single" w:color="000000" w:sz="4" w:space="0"/>
              <w:right w:val="single" w:color="000000" w:sz="4" w:space="0"/>
            </w:tcBorders>
            <w:noWrap w:val="0"/>
            <w:vAlign w:val="center"/>
          </w:tcPr>
          <w:p w14:paraId="77E479A3">
            <w:pPr>
              <w:keepNext w:val="0"/>
              <w:keepLines w:val="0"/>
              <w:pageBreakBefore w:val="0"/>
              <w:kinsoku/>
              <w:wordWrap/>
              <w:overflowPunct/>
              <w:topLinePunct w:val="0"/>
              <w:autoSpaceDE/>
              <w:autoSpaceDN/>
              <w:bidi w:val="0"/>
              <w:adjustRightInd/>
              <w:snapToGrid/>
              <w:spacing w:line="360" w:lineRule="auto"/>
              <w:jc w:val="center"/>
              <w:rPr>
                <w:rFonts w:hint="eastAsia" w:ascii="黑体" w:hAnsi="黑体" w:eastAsia="黑体" w:cs="黑体"/>
                <w:b/>
                <w:bCs/>
                <w:i w:val="0"/>
                <w:iCs w:val="0"/>
                <w:color w:val="000000"/>
                <w:sz w:val="18"/>
                <w:szCs w:val="18"/>
                <w:highlight w:val="none"/>
                <w:u w:val="none"/>
              </w:rPr>
            </w:pPr>
          </w:p>
        </w:tc>
        <w:tc>
          <w:tcPr>
            <w:tcW w:w="282" w:type="pct"/>
            <w:tcBorders>
              <w:top w:val="single" w:color="000000" w:sz="4" w:space="0"/>
              <w:left w:val="single" w:color="000000" w:sz="4" w:space="0"/>
              <w:bottom w:val="single" w:color="000000" w:sz="4" w:space="0"/>
              <w:right w:val="single" w:color="000000" w:sz="4" w:space="0"/>
            </w:tcBorders>
            <w:noWrap/>
            <w:vAlign w:val="center"/>
          </w:tcPr>
          <w:p w14:paraId="12A82877">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椎板咬骨钳</w:t>
            </w:r>
          </w:p>
        </w:tc>
        <w:tc>
          <w:tcPr>
            <w:tcW w:w="3849" w:type="pct"/>
            <w:tcBorders>
              <w:top w:val="single" w:color="000000" w:sz="4" w:space="0"/>
              <w:left w:val="single" w:color="000000" w:sz="4" w:space="0"/>
              <w:bottom w:val="single" w:color="000000" w:sz="4" w:space="0"/>
              <w:right w:val="single" w:color="000000" w:sz="4" w:space="0"/>
            </w:tcBorders>
            <w:noWrap w:val="0"/>
            <w:vAlign w:val="center"/>
          </w:tcPr>
          <w:p w14:paraId="45DE1095">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1.总长230mm，头宽1mm，开口10，刃口角度130°，刃口厚度为超薄型，长度公差±5mm。</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2.与人体接触部位材料采用不锈钢材料，该材料化学成分应符合GB/T 3280-2015，应经热处理，其硬度为48HRC-56HRC。</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3.产品金属表面PVD涂层处理，不得有锋棱、毛刺、裂纹及明显的碰伤和划伤，其表面粗糙度不大于0.4umm。</w:t>
            </w:r>
          </w:p>
        </w:tc>
        <w:tc>
          <w:tcPr>
            <w:tcW w:w="194" w:type="pct"/>
            <w:tcBorders>
              <w:top w:val="single" w:color="000000" w:sz="4" w:space="0"/>
              <w:left w:val="single" w:color="000000" w:sz="4" w:space="0"/>
              <w:bottom w:val="single" w:color="000000" w:sz="4" w:space="0"/>
              <w:right w:val="single" w:color="000000" w:sz="4" w:space="0"/>
            </w:tcBorders>
            <w:noWrap w:val="0"/>
            <w:vAlign w:val="center"/>
          </w:tcPr>
          <w:p w14:paraId="33870812">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1</w:t>
            </w:r>
          </w:p>
        </w:tc>
        <w:tc>
          <w:tcPr>
            <w:tcW w:w="272" w:type="pct"/>
            <w:tcBorders>
              <w:top w:val="single" w:color="000000" w:sz="4" w:space="0"/>
              <w:left w:val="single" w:color="000000" w:sz="4" w:space="0"/>
              <w:bottom w:val="single" w:color="000000" w:sz="4" w:space="0"/>
              <w:right w:val="single" w:color="000000" w:sz="4" w:space="0"/>
            </w:tcBorders>
            <w:noWrap w:val="0"/>
            <w:vAlign w:val="center"/>
          </w:tcPr>
          <w:p w14:paraId="74A8F756">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把</w:t>
            </w:r>
          </w:p>
        </w:tc>
      </w:tr>
      <w:tr w14:paraId="71A1CC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400" w:type="pct"/>
            <w:vMerge w:val="continue"/>
            <w:tcBorders>
              <w:top w:val="single" w:color="000000" w:sz="4" w:space="0"/>
              <w:left w:val="single" w:color="000000" w:sz="4" w:space="0"/>
              <w:bottom w:val="single" w:color="000000" w:sz="4" w:space="0"/>
              <w:right w:val="single" w:color="000000" w:sz="4" w:space="0"/>
            </w:tcBorders>
            <w:noWrap w:val="0"/>
            <w:vAlign w:val="center"/>
          </w:tcPr>
          <w:p w14:paraId="20CFA866">
            <w:pPr>
              <w:keepNext w:val="0"/>
              <w:keepLines w:val="0"/>
              <w:pageBreakBefore w:val="0"/>
              <w:kinsoku/>
              <w:wordWrap/>
              <w:overflowPunct/>
              <w:topLinePunct w:val="0"/>
              <w:autoSpaceDE/>
              <w:autoSpaceDN/>
              <w:bidi w:val="0"/>
              <w:adjustRightInd/>
              <w:snapToGrid/>
              <w:spacing w:line="360" w:lineRule="auto"/>
              <w:jc w:val="center"/>
              <w:rPr>
                <w:rFonts w:hint="eastAsia" w:ascii="黑体" w:hAnsi="黑体" w:eastAsia="黑体" w:cs="黑体"/>
                <w:b/>
                <w:bCs/>
                <w:i w:val="0"/>
                <w:iCs w:val="0"/>
                <w:color w:val="000000"/>
                <w:sz w:val="18"/>
                <w:szCs w:val="18"/>
                <w:highlight w:val="none"/>
                <w:u w:val="none"/>
              </w:rPr>
            </w:pPr>
          </w:p>
        </w:tc>
        <w:tc>
          <w:tcPr>
            <w:tcW w:w="282" w:type="pct"/>
            <w:tcBorders>
              <w:top w:val="single" w:color="000000" w:sz="4" w:space="0"/>
              <w:left w:val="single" w:color="000000" w:sz="4" w:space="0"/>
              <w:bottom w:val="single" w:color="000000" w:sz="4" w:space="0"/>
              <w:right w:val="single" w:color="000000" w:sz="4" w:space="0"/>
            </w:tcBorders>
            <w:noWrap/>
            <w:vAlign w:val="center"/>
          </w:tcPr>
          <w:p w14:paraId="0F8E0815">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椎板咬骨钳</w:t>
            </w:r>
          </w:p>
        </w:tc>
        <w:tc>
          <w:tcPr>
            <w:tcW w:w="3849" w:type="pct"/>
            <w:tcBorders>
              <w:top w:val="single" w:color="000000" w:sz="4" w:space="0"/>
              <w:left w:val="single" w:color="000000" w:sz="4" w:space="0"/>
              <w:bottom w:val="single" w:color="000000" w:sz="4" w:space="0"/>
              <w:right w:val="single" w:color="000000" w:sz="4" w:space="0"/>
            </w:tcBorders>
            <w:noWrap w:val="0"/>
            <w:vAlign w:val="center"/>
          </w:tcPr>
          <w:p w14:paraId="78E66513">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1.总长230mm，头宽3mm，开口10，刃口角度110°，刃口厚度为超薄型，长度公差±5mm。</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2.与人体接触部位材料采用不锈钢材料，该材料化学成分应符合GB/T 3280-2015，应经热处理，其硬度为48HRC-56HRC。</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3.产品金属表面PVD涂层处理，不得有锋棱、毛刺、裂纹及明显的碰伤和划伤，其表面粗糙度不大于0.4umm。</w:t>
            </w:r>
          </w:p>
        </w:tc>
        <w:tc>
          <w:tcPr>
            <w:tcW w:w="194" w:type="pct"/>
            <w:tcBorders>
              <w:top w:val="single" w:color="000000" w:sz="4" w:space="0"/>
              <w:left w:val="single" w:color="000000" w:sz="4" w:space="0"/>
              <w:bottom w:val="single" w:color="000000" w:sz="4" w:space="0"/>
              <w:right w:val="single" w:color="000000" w:sz="4" w:space="0"/>
            </w:tcBorders>
            <w:noWrap w:val="0"/>
            <w:vAlign w:val="center"/>
          </w:tcPr>
          <w:p w14:paraId="7C7B7C11">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1</w:t>
            </w:r>
          </w:p>
        </w:tc>
        <w:tc>
          <w:tcPr>
            <w:tcW w:w="272" w:type="pct"/>
            <w:tcBorders>
              <w:top w:val="single" w:color="000000" w:sz="4" w:space="0"/>
              <w:left w:val="single" w:color="000000" w:sz="4" w:space="0"/>
              <w:bottom w:val="single" w:color="000000" w:sz="4" w:space="0"/>
              <w:right w:val="single" w:color="000000" w:sz="4" w:space="0"/>
            </w:tcBorders>
            <w:noWrap w:val="0"/>
            <w:vAlign w:val="center"/>
          </w:tcPr>
          <w:p w14:paraId="164955D2">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把</w:t>
            </w:r>
          </w:p>
        </w:tc>
      </w:tr>
      <w:tr w14:paraId="021613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400" w:type="pct"/>
            <w:vMerge w:val="continue"/>
            <w:tcBorders>
              <w:top w:val="single" w:color="000000" w:sz="4" w:space="0"/>
              <w:left w:val="single" w:color="000000" w:sz="4" w:space="0"/>
              <w:bottom w:val="single" w:color="000000" w:sz="4" w:space="0"/>
              <w:right w:val="single" w:color="000000" w:sz="4" w:space="0"/>
            </w:tcBorders>
            <w:noWrap w:val="0"/>
            <w:vAlign w:val="center"/>
          </w:tcPr>
          <w:p w14:paraId="63D4D754">
            <w:pPr>
              <w:keepNext w:val="0"/>
              <w:keepLines w:val="0"/>
              <w:pageBreakBefore w:val="0"/>
              <w:kinsoku/>
              <w:wordWrap/>
              <w:overflowPunct/>
              <w:topLinePunct w:val="0"/>
              <w:autoSpaceDE/>
              <w:autoSpaceDN/>
              <w:bidi w:val="0"/>
              <w:adjustRightInd/>
              <w:snapToGrid/>
              <w:spacing w:line="360" w:lineRule="auto"/>
              <w:jc w:val="center"/>
              <w:rPr>
                <w:rFonts w:hint="eastAsia" w:ascii="黑体" w:hAnsi="黑体" w:eastAsia="黑体" w:cs="黑体"/>
                <w:b/>
                <w:bCs/>
                <w:i w:val="0"/>
                <w:iCs w:val="0"/>
                <w:color w:val="000000"/>
                <w:sz w:val="18"/>
                <w:szCs w:val="18"/>
                <w:highlight w:val="none"/>
                <w:u w:val="none"/>
              </w:rPr>
            </w:pPr>
          </w:p>
        </w:tc>
        <w:tc>
          <w:tcPr>
            <w:tcW w:w="282" w:type="pct"/>
            <w:tcBorders>
              <w:top w:val="single" w:color="000000" w:sz="4" w:space="0"/>
              <w:left w:val="single" w:color="000000" w:sz="4" w:space="0"/>
              <w:bottom w:val="single" w:color="000000" w:sz="4" w:space="0"/>
              <w:right w:val="single" w:color="000000" w:sz="4" w:space="0"/>
            </w:tcBorders>
            <w:noWrap/>
            <w:vAlign w:val="center"/>
          </w:tcPr>
          <w:p w14:paraId="7F54CFA9">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椎板咬骨钳</w:t>
            </w:r>
          </w:p>
        </w:tc>
        <w:tc>
          <w:tcPr>
            <w:tcW w:w="3849" w:type="pct"/>
            <w:tcBorders>
              <w:top w:val="single" w:color="000000" w:sz="4" w:space="0"/>
              <w:left w:val="single" w:color="000000" w:sz="4" w:space="0"/>
              <w:bottom w:val="single" w:color="000000" w:sz="4" w:space="0"/>
              <w:right w:val="single" w:color="000000" w:sz="4" w:space="0"/>
            </w:tcBorders>
            <w:noWrap w:val="0"/>
            <w:vAlign w:val="center"/>
          </w:tcPr>
          <w:p w14:paraId="3F95137F">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1.总长230mm，头宽3mm，开口10，刃口角度90°，刃口厚度为超薄型，长度公差±5mm。</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2.与人体接触部位材料采用不锈钢材料，该材料化学成分应符合GB/T 3280-2015，应经热处理，其硬度为48HRC-56HRC。</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3.产品金属表面PVD涂层处理，不得有锋棱、毛刺、裂纹及明显的碰伤和划伤，其表面粗糙度不大于0.4umm。</w:t>
            </w:r>
          </w:p>
        </w:tc>
        <w:tc>
          <w:tcPr>
            <w:tcW w:w="194" w:type="pct"/>
            <w:tcBorders>
              <w:top w:val="single" w:color="000000" w:sz="4" w:space="0"/>
              <w:left w:val="single" w:color="000000" w:sz="4" w:space="0"/>
              <w:bottom w:val="single" w:color="000000" w:sz="4" w:space="0"/>
              <w:right w:val="single" w:color="000000" w:sz="4" w:space="0"/>
            </w:tcBorders>
            <w:noWrap w:val="0"/>
            <w:vAlign w:val="center"/>
          </w:tcPr>
          <w:p w14:paraId="60389B83">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1</w:t>
            </w:r>
          </w:p>
        </w:tc>
        <w:tc>
          <w:tcPr>
            <w:tcW w:w="272" w:type="pct"/>
            <w:tcBorders>
              <w:top w:val="single" w:color="000000" w:sz="4" w:space="0"/>
              <w:left w:val="single" w:color="000000" w:sz="4" w:space="0"/>
              <w:bottom w:val="single" w:color="000000" w:sz="4" w:space="0"/>
              <w:right w:val="single" w:color="000000" w:sz="4" w:space="0"/>
            </w:tcBorders>
            <w:noWrap w:val="0"/>
            <w:vAlign w:val="center"/>
          </w:tcPr>
          <w:p w14:paraId="15D29DA5">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把</w:t>
            </w:r>
          </w:p>
        </w:tc>
      </w:tr>
      <w:tr w14:paraId="2AED6A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400" w:type="pct"/>
            <w:vMerge w:val="continue"/>
            <w:tcBorders>
              <w:top w:val="single" w:color="000000" w:sz="4" w:space="0"/>
              <w:left w:val="single" w:color="000000" w:sz="4" w:space="0"/>
              <w:bottom w:val="single" w:color="000000" w:sz="4" w:space="0"/>
              <w:right w:val="single" w:color="000000" w:sz="4" w:space="0"/>
            </w:tcBorders>
            <w:noWrap w:val="0"/>
            <w:vAlign w:val="center"/>
          </w:tcPr>
          <w:p w14:paraId="0D499BEA">
            <w:pPr>
              <w:keepNext w:val="0"/>
              <w:keepLines w:val="0"/>
              <w:pageBreakBefore w:val="0"/>
              <w:kinsoku/>
              <w:wordWrap/>
              <w:overflowPunct/>
              <w:topLinePunct w:val="0"/>
              <w:autoSpaceDE/>
              <w:autoSpaceDN/>
              <w:bidi w:val="0"/>
              <w:adjustRightInd/>
              <w:snapToGrid/>
              <w:spacing w:line="360" w:lineRule="auto"/>
              <w:jc w:val="center"/>
              <w:rPr>
                <w:rFonts w:hint="eastAsia" w:ascii="黑体" w:hAnsi="黑体" w:eastAsia="黑体" w:cs="黑体"/>
                <w:b/>
                <w:bCs/>
                <w:i w:val="0"/>
                <w:iCs w:val="0"/>
                <w:color w:val="000000"/>
                <w:sz w:val="18"/>
                <w:szCs w:val="18"/>
                <w:highlight w:val="none"/>
                <w:u w:val="none"/>
              </w:rPr>
            </w:pPr>
          </w:p>
        </w:tc>
        <w:tc>
          <w:tcPr>
            <w:tcW w:w="282" w:type="pct"/>
            <w:tcBorders>
              <w:top w:val="single" w:color="000000" w:sz="4" w:space="0"/>
              <w:left w:val="single" w:color="000000" w:sz="4" w:space="0"/>
              <w:bottom w:val="single" w:color="000000" w:sz="4" w:space="0"/>
              <w:right w:val="single" w:color="000000" w:sz="4" w:space="0"/>
            </w:tcBorders>
            <w:noWrap/>
            <w:vAlign w:val="center"/>
          </w:tcPr>
          <w:p w14:paraId="51B88990">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髓核钳</w:t>
            </w:r>
          </w:p>
        </w:tc>
        <w:tc>
          <w:tcPr>
            <w:tcW w:w="3849" w:type="pct"/>
            <w:tcBorders>
              <w:top w:val="single" w:color="000000" w:sz="4" w:space="0"/>
              <w:left w:val="single" w:color="000000" w:sz="4" w:space="0"/>
              <w:bottom w:val="single" w:color="000000" w:sz="4" w:space="0"/>
              <w:right w:val="single" w:color="000000" w:sz="4" w:space="0"/>
            </w:tcBorders>
            <w:noWrap w:val="0"/>
            <w:vAlign w:val="center"/>
          </w:tcPr>
          <w:p w14:paraId="0C91B021">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1.总长度220mm，头部宽度2mm，刃口长度尺寸6mm，握柄式。</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2.与人体接触部位材料采用不锈钢材料，该材料化学成分应符合GB/T 3280-2015，应经热处理，其硬度为48HRC-56HRC。</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3.产品金属表面PVD涂层处理，不得有锋棱、毛刺、裂纹及明显的碰伤和划伤，其表面粗糙度不大于0.4umm。</w:t>
            </w:r>
          </w:p>
        </w:tc>
        <w:tc>
          <w:tcPr>
            <w:tcW w:w="194" w:type="pct"/>
            <w:tcBorders>
              <w:top w:val="single" w:color="000000" w:sz="4" w:space="0"/>
              <w:left w:val="single" w:color="000000" w:sz="4" w:space="0"/>
              <w:bottom w:val="single" w:color="000000" w:sz="4" w:space="0"/>
              <w:right w:val="single" w:color="000000" w:sz="4" w:space="0"/>
            </w:tcBorders>
            <w:noWrap w:val="0"/>
            <w:vAlign w:val="center"/>
          </w:tcPr>
          <w:p w14:paraId="4DEC03FF">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1</w:t>
            </w:r>
          </w:p>
        </w:tc>
        <w:tc>
          <w:tcPr>
            <w:tcW w:w="272" w:type="pct"/>
            <w:tcBorders>
              <w:top w:val="single" w:color="000000" w:sz="4" w:space="0"/>
              <w:left w:val="single" w:color="000000" w:sz="4" w:space="0"/>
              <w:bottom w:val="single" w:color="000000" w:sz="4" w:space="0"/>
              <w:right w:val="single" w:color="000000" w:sz="4" w:space="0"/>
            </w:tcBorders>
            <w:noWrap w:val="0"/>
            <w:vAlign w:val="center"/>
          </w:tcPr>
          <w:p w14:paraId="4DEB3120">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把</w:t>
            </w:r>
          </w:p>
        </w:tc>
      </w:tr>
      <w:tr w14:paraId="4479D7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400" w:type="pct"/>
            <w:vMerge w:val="continue"/>
            <w:tcBorders>
              <w:top w:val="single" w:color="000000" w:sz="4" w:space="0"/>
              <w:left w:val="single" w:color="000000" w:sz="4" w:space="0"/>
              <w:bottom w:val="single" w:color="000000" w:sz="4" w:space="0"/>
              <w:right w:val="single" w:color="000000" w:sz="4" w:space="0"/>
            </w:tcBorders>
            <w:noWrap w:val="0"/>
            <w:vAlign w:val="center"/>
          </w:tcPr>
          <w:p w14:paraId="14D951A7">
            <w:pPr>
              <w:keepNext w:val="0"/>
              <w:keepLines w:val="0"/>
              <w:pageBreakBefore w:val="0"/>
              <w:kinsoku/>
              <w:wordWrap/>
              <w:overflowPunct/>
              <w:topLinePunct w:val="0"/>
              <w:autoSpaceDE/>
              <w:autoSpaceDN/>
              <w:bidi w:val="0"/>
              <w:adjustRightInd/>
              <w:snapToGrid/>
              <w:spacing w:line="360" w:lineRule="auto"/>
              <w:jc w:val="center"/>
              <w:rPr>
                <w:rFonts w:hint="eastAsia" w:ascii="黑体" w:hAnsi="黑体" w:eastAsia="黑体" w:cs="黑体"/>
                <w:b/>
                <w:bCs/>
                <w:i w:val="0"/>
                <w:iCs w:val="0"/>
                <w:color w:val="000000"/>
                <w:sz w:val="18"/>
                <w:szCs w:val="18"/>
                <w:highlight w:val="none"/>
                <w:u w:val="none"/>
              </w:rPr>
            </w:pPr>
          </w:p>
        </w:tc>
        <w:tc>
          <w:tcPr>
            <w:tcW w:w="282" w:type="pct"/>
            <w:tcBorders>
              <w:top w:val="single" w:color="000000" w:sz="4" w:space="0"/>
              <w:left w:val="single" w:color="000000" w:sz="4" w:space="0"/>
              <w:bottom w:val="single" w:color="000000" w:sz="4" w:space="0"/>
              <w:right w:val="single" w:color="000000" w:sz="4" w:space="0"/>
            </w:tcBorders>
            <w:noWrap/>
            <w:vAlign w:val="center"/>
          </w:tcPr>
          <w:p w14:paraId="70A6D83F">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髓核钳</w:t>
            </w:r>
          </w:p>
        </w:tc>
        <w:tc>
          <w:tcPr>
            <w:tcW w:w="3849" w:type="pct"/>
            <w:tcBorders>
              <w:top w:val="single" w:color="000000" w:sz="4" w:space="0"/>
              <w:left w:val="single" w:color="000000" w:sz="4" w:space="0"/>
              <w:bottom w:val="single" w:color="000000" w:sz="4" w:space="0"/>
              <w:right w:val="single" w:color="000000" w:sz="4" w:space="0"/>
            </w:tcBorders>
            <w:noWrap w:val="0"/>
            <w:vAlign w:val="center"/>
          </w:tcPr>
          <w:p w14:paraId="460D5BD4">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1.总长度220mm，头部宽度2mm，刃口长度尺寸6mm，头部角度150°，握柄式。</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2.与人体接触部位材料采用不锈钢材料，该材料化学成分应符合GB/T 3280-2015，应经热处理，其硬度为48HRC-56HRC。</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3.产品金属表面PVD涂层处理，不得有锋棱、毛刺、裂纹及明显的碰伤和划伤，其表面粗糙度不大于0.4umm。</w:t>
            </w:r>
          </w:p>
        </w:tc>
        <w:tc>
          <w:tcPr>
            <w:tcW w:w="194" w:type="pct"/>
            <w:tcBorders>
              <w:top w:val="single" w:color="000000" w:sz="4" w:space="0"/>
              <w:left w:val="single" w:color="000000" w:sz="4" w:space="0"/>
              <w:bottom w:val="single" w:color="000000" w:sz="4" w:space="0"/>
              <w:right w:val="single" w:color="000000" w:sz="4" w:space="0"/>
            </w:tcBorders>
            <w:noWrap w:val="0"/>
            <w:vAlign w:val="center"/>
          </w:tcPr>
          <w:p w14:paraId="64590600">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1</w:t>
            </w:r>
          </w:p>
        </w:tc>
        <w:tc>
          <w:tcPr>
            <w:tcW w:w="272" w:type="pct"/>
            <w:tcBorders>
              <w:top w:val="single" w:color="000000" w:sz="4" w:space="0"/>
              <w:left w:val="single" w:color="000000" w:sz="4" w:space="0"/>
              <w:bottom w:val="single" w:color="000000" w:sz="4" w:space="0"/>
              <w:right w:val="single" w:color="000000" w:sz="4" w:space="0"/>
            </w:tcBorders>
            <w:noWrap w:val="0"/>
            <w:vAlign w:val="center"/>
          </w:tcPr>
          <w:p w14:paraId="3D3EC2B4">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把</w:t>
            </w:r>
          </w:p>
        </w:tc>
      </w:tr>
      <w:tr w14:paraId="528089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400" w:type="pct"/>
            <w:vMerge w:val="continue"/>
            <w:tcBorders>
              <w:top w:val="single" w:color="000000" w:sz="4" w:space="0"/>
              <w:left w:val="single" w:color="000000" w:sz="4" w:space="0"/>
              <w:bottom w:val="single" w:color="000000" w:sz="4" w:space="0"/>
              <w:right w:val="single" w:color="000000" w:sz="4" w:space="0"/>
            </w:tcBorders>
            <w:noWrap w:val="0"/>
            <w:vAlign w:val="center"/>
          </w:tcPr>
          <w:p w14:paraId="38C1E346">
            <w:pPr>
              <w:keepNext w:val="0"/>
              <w:keepLines w:val="0"/>
              <w:pageBreakBefore w:val="0"/>
              <w:kinsoku/>
              <w:wordWrap/>
              <w:overflowPunct/>
              <w:topLinePunct w:val="0"/>
              <w:autoSpaceDE/>
              <w:autoSpaceDN/>
              <w:bidi w:val="0"/>
              <w:adjustRightInd/>
              <w:snapToGrid/>
              <w:spacing w:line="360" w:lineRule="auto"/>
              <w:jc w:val="center"/>
              <w:rPr>
                <w:rFonts w:hint="eastAsia" w:ascii="黑体" w:hAnsi="黑体" w:eastAsia="黑体" w:cs="黑体"/>
                <w:b/>
                <w:bCs/>
                <w:i w:val="0"/>
                <w:iCs w:val="0"/>
                <w:color w:val="000000"/>
                <w:sz w:val="18"/>
                <w:szCs w:val="18"/>
                <w:highlight w:val="none"/>
                <w:u w:val="none"/>
              </w:rPr>
            </w:pPr>
          </w:p>
        </w:tc>
        <w:tc>
          <w:tcPr>
            <w:tcW w:w="282" w:type="pct"/>
            <w:tcBorders>
              <w:top w:val="single" w:color="000000" w:sz="4" w:space="0"/>
              <w:left w:val="single" w:color="000000" w:sz="4" w:space="0"/>
              <w:bottom w:val="single" w:color="000000" w:sz="4" w:space="0"/>
              <w:right w:val="single" w:color="000000" w:sz="4" w:space="0"/>
            </w:tcBorders>
            <w:noWrap/>
            <w:vAlign w:val="center"/>
          </w:tcPr>
          <w:p w14:paraId="6428D476">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髓核钳</w:t>
            </w:r>
          </w:p>
        </w:tc>
        <w:tc>
          <w:tcPr>
            <w:tcW w:w="3849" w:type="pct"/>
            <w:tcBorders>
              <w:top w:val="single" w:color="000000" w:sz="4" w:space="0"/>
              <w:left w:val="single" w:color="000000" w:sz="4" w:space="0"/>
              <w:bottom w:val="single" w:color="000000" w:sz="4" w:space="0"/>
              <w:right w:val="single" w:color="000000" w:sz="4" w:space="0"/>
            </w:tcBorders>
            <w:noWrap w:val="0"/>
            <w:vAlign w:val="center"/>
          </w:tcPr>
          <w:p w14:paraId="0FAA735D">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1.总长度220mm，头部宽度4mm，刃口长度尺寸10mm，握柄式。</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2.与人体接触部位材料采用不锈钢材料，该材料化学成分应符合GB/T3280-2015，应经热处理，其硬度为48HRC-56HRC。</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3.产品金属表面PVD涂层处理，不得有锋棱、毛刺、裂纹及明显的碰伤和划伤，其表面粗糙度不大于0.4umm。</w:t>
            </w:r>
          </w:p>
        </w:tc>
        <w:tc>
          <w:tcPr>
            <w:tcW w:w="194" w:type="pct"/>
            <w:tcBorders>
              <w:top w:val="single" w:color="000000" w:sz="4" w:space="0"/>
              <w:left w:val="single" w:color="000000" w:sz="4" w:space="0"/>
              <w:bottom w:val="single" w:color="000000" w:sz="4" w:space="0"/>
              <w:right w:val="single" w:color="000000" w:sz="4" w:space="0"/>
            </w:tcBorders>
            <w:noWrap w:val="0"/>
            <w:vAlign w:val="center"/>
          </w:tcPr>
          <w:p w14:paraId="1645DF35">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1</w:t>
            </w:r>
          </w:p>
        </w:tc>
        <w:tc>
          <w:tcPr>
            <w:tcW w:w="272" w:type="pct"/>
            <w:tcBorders>
              <w:top w:val="single" w:color="000000" w:sz="4" w:space="0"/>
              <w:left w:val="single" w:color="000000" w:sz="4" w:space="0"/>
              <w:bottom w:val="single" w:color="000000" w:sz="4" w:space="0"/>
              <w:right w:val="single" w:color="000000" w:sz="4" w:space="0"/>
            </w:tcBorders>
            <w:noWrap w:val="0"/>
            <w:vAlign w:val="center"/>
          </w:tcPr>
          <w:p w14:paraId="1547BAF5">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把</w:t>
            </w:r>
          </w:p>
        </w:tc>
      </w:tr>
      <w:tr w14:paraId="4A9E9B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400" w:type="pct"/>
            <w:vMerge w:val="continue"/>
            <w:tcBorders>
              <w:top w:val="single" w:color="000000" w:sz="4" w:space="0"/>
              <w:left w:val="single" w:color="000000" w:sz="4" w:space="0"/>
              <w:bottom w:val="single" w:color="000000" w:sz="4" w:space="0"/>
              <w:right w:val="single" w:color="000000" w:sz="4" w:space="0"/>
            </w:tcBorders>
            <w:noWrap w:val="0"/>
            <w:vAlign w:val="center"/>
          </w:tcPr>
          <w:p w14:paraId="643DA637">
            <w:pPr>
              <w:keepNext w:val="0"/>
              <w:keepLines w:val="0"/>
              <w:pageBreakBefore w:val="0"/>
              <w:kinsoku/>
              <w:wordWrap/>
              <w:overflowPunct/>
              <w:topLinePunct w:val="0"/>
              <w:autoSpaceDE/>
              <w:autoSpaceDN/>
              <w:bidi w:val="0"/>
              <w:adjustRightInd/>
              <w:snapToGrid/>
              <w:spacing w:line="360" w:lineRule="auto"/>
              <w:jc w:val="center"/>
              <w:rPr>
                <w:rFonts w:hint="eastAsia" w:ascii="黑体" w:hAnsi="黑体" w:eastAsia="黑体" w:cs="黑体"/>
                <w:b/>
                <w:bCs/>
                <w:i w:val="0"/>
                <w:iCs w:val="0"/>
                <w:color w:val="000000"/>
                <w:sz w:val="18"/>
                <w:szCs w:val="18"/>
                <w:highlight w:val="none"/>
                <w:u w:val="none"/>
              </w:rPr>
            </w:pPr>
          </w:p>
        </w:tc>
        <w:tc>
          <w:tcPr>
            <w:tcW w:w="282" w:type="pct"/>
            <w:tcBorders>
              <w:top w:val="single" w:color="000000" w:sz="4" w:space="0"/>
              <w:left w:val="single" w:color="000000" w:sz="4" w:space="0"/>
              <w:bottom w:val="single" w:color="000000" w:sz="4" w:space="0"/>
              <w:right w:val="single" w:color="000000" w:sz="4" w:space="0"/>
            </w:tcBorders>
            <w:noWrap/>
            <w:vAlign w:val="center"/>
          </w:tcPr>
          <w:p w14:paraId="5A702355">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髓核钳</w:t>
            </w:r>
          </w:p>
        </w:tc>
        <w:tc>
          <w:tcPr>
            <w:tcW w:w="3849" w:type="pct"/>
            <w:tcBorders>
              <w:top w:val="single" w:color="000000" w:sz="4" w:space="0"/>
              <w:left w:val="single" w:color="000000" w:sz="4" w:space="0"/>
              <w:bottom w:val="single" w:color="000000" w:sz="4" w:space="0"/>
              <w:right w:val="single" w:color="000000" w:sz="4" w:space="0"/>
            </w:tcBorders>
            <w:noWrap w:val="0"/>
            <w:vAlign w:val="center"/>
          </w:tcPr>
          <w:p w14:paraId="2881545C">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1.总长度220mm，头部宽度4mm，刃口长度尺寸10mm，头部角度150°，握柄式。</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2.与人体接触部位材料采用不锈钢材料，该材料化学成分应符合GB/T3280-2015，应经热处理，其硬度为48HRC-56HRC。</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3.产品金属表面PVD涂层处理，不得有锋棱、毛刺、裂纹及明显的碰伤和划伤，其表面粗糙度不大于0.4umm。</w:t>
            </w:r>
          </w:p>
        </w:tc>
        <w:tc>
          <w:tcPr>
            <w:tcW w:w="194" w:type="pct"/>
            <w:tcBorders>
              <w:top w:val="single" w:color="000000" w:sz="4" w:space="0"/>
              <w:left w:val="single" w:color="000000" w:sz="4" w:space="0"/>
              <w:bottom w:val="single" w:color="000000" w:sz="4" w:space="0"/>
              <w:right w:val="single" w:color="000000" w:sz="4" w:space="0"/>
            </w:tcBorders>
            <w:noWrap w:val="0"/>
            <w:vAlign w:val="center"/>
          </w:tcPr>
          <w:p w14:paraId="577AD941">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1</w:t>
            </w:r>
          </w:p>
        </w:tc>
        <w:tc>
          <w:tcPr>
            <w:tcW w:w="272" w:type="pct"/>
            <w:tcBorders>
              <w:top w:val="single" w:color="000000" w:sz="4" w:space="0"/>
              <w:left w:val="single" w:color="000000" w:sz="4" w:space="0"/>
              <w:bottom w:val="single" w:color="000000" w:sz="4" w:space="0"/>
              <w:right w:val="single" w:color="000000" w:sz="4" w:space="0"/>
            </w:tcBorders>
            <w:noWrap w:val="0"/>
            <w:vAlign w:val="center"/>
          </w:tcPr>
          <w:p w14:paraId="504EAE55">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把</w:t>
            </w:r>
          </w:p>
        </w:tc>
      </w:tr>
      <w:tr w14:paraId="0B723C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400" w:type="pct"/>
            <w:vMerge w:val="continue"/>
            <w:tcBorders>
              <w:top w:val="single" w:color="000000" w:sz="4" w:space="0"/>
              <w:left w:val="single" w:color="000000" w:sz="4" w:space="0"/>
              <w:bottom w:val="single" w:color="000000" w:sz="4" w:space="0"/>
              <w:right w:val="single" w:color="000000" w:sz="4" w:space="0"/>
            </w:tcBorders>
            <w:noWrap w:val="0"/>
            <w:vAlign w:val="center"/>
          </w:tcPr>
          <w:p w14:paraId="504F7E92">
            <w:pPr>
              <w:keepNext w:val="0"/>
              <w:keepLines w:val="0"/>
              <w:pageBreakBefore w:val="0"/>
              <w:kinsoku/>
              <w:wordWrap/>
              <w:overflowPunct/>
              <w:topLinePunct w:val="0"/>
              <w:autoSpaceDE/>
              <w:autoSpaceDN/>
              <w:bidi w:val="0"/>
              <w:adjustRightInd/>
              <w:snapToGrid/>
              <w:spacing w:line="360" w:lineRule="auto"/>
              <w:jc w:val="center"/>
              <w:rPr>
                <w:rFonts w:hint="eastAsia" w:ascii="黑体" w:hAnsi="黑体" w:eastAsia="黑体" w:cs="黑体"/>
                <w:b/>
                <w:bCs/>
                <w:i w:val="0"/>
                <w:iCs w:val="0"/>
                <w:color w:val="000000"/>
                <w:sz w:val="18"/>
                <w:szCs w:val="18"/>
                <w:highlight w:val="none"/>
                <w:u w:val="none"/>
              </w:rPr>
            </w:pPr>
          </w:p>
        </w:tc>
        <w:tc>
          <w:tcPr>
            <w:tcW w:w="282" w:type="pct"/>
            <w:tcBorders>
              <w:top w:val="single" w:color="000000" w:sz="4" w:space="0"/>
              <w:left w:val="single" w:color="000000" w:sz="4" w:space="0"/>
              <w:bottom w:val="single" w:color="000000" w:sz="4" w:space="0"/>
              <w:right w:val="single" w:color="000000" w:sz="4" w:space="0"/>
            </w:tcBorders>
            <w:noWrap/>
            <w:vAlign w:val="center"/>
          </w:tcPr>
          <w:p w14:paraId="10F6AEFD">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颈椎拉钩</w:t>
            </w:r>
          </w:p>
        </w:tc>
        <w:tc>
          <w:tcPr>
            <w:tcW w:w="3849" w:type="pct"/>
            <w:tcBorders>
              <w:top w:val="single" w:color="000000" w:sz="4" w:space="0"/>
              <w:left w:val="single" w:color="000000" w:sz="4" w:space="0"/>
              <w:bottom w:val="single" w:color="000000" w:sz="4" w:space="0"/>
              <w:right w:val="single" w:color="000000" w:sz="4" w:space="0"/>
            </w:tcBorders>
            <w:noWrap w:val="0"/>
            <w:vAlign w:val="center"/>
          </w:tcPr>
          <w:p w14:paraId="0F096CD5">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1.总长200mm，宽25mm，深56mm。</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2.与患者接触部分的金属材料采用医用不锈钢制造，该材料化学成分符合GB/T 3280-2015，应经热处理，其硬度为40-48HRC。</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3.产品金属表面电镀处理，不得有锋棱、毛刺、裂纹及明显的碰伤和划伤，其表面粗糙度不大于0.4umm。</w:t>
            </w:r>
          </w:p>
        </w:tc>
        <w:tc>
          <w:tcPr>
            <w:tcW w:w="194" w:type="pct"/>
            <w:tcBorders>
              <w:top w:val="single" w:color="000000" w:sz="4" w:space="0"/>
              <w:left w:val="single" w:color="000000" w:sz="4" w:space="0"/>
              <w:bottom w:val="single" w:color="000000" w:sz="4" w:space="0"/>
              <w:right w:val="single" w:color="000000" w:sz="4" w:space="0"/>
            </w:tcBorders>
            <w:noWrap w:val="0"/>
            <w:vAlign w:val="center"/>
          </w:tcPr>
          <w:p w14:paraId="6B165A16">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1</w:t>
            </w:r>
          </w:p>
        </w:tc>
        <w:tc>
          <w:tcPr>
            <w:tcW w:w="272" w:type="pct"/>
            <w:tcBorders>
              <w:top w:val="single" w:color="000000" w:sz="4" w:space="0"/>
              <w:left w:val="single" w:color="000000" w:sz="4" w:space="0"/>
              <w:bottom w:val="single" w:color="000000" w:sz="4" w:space="0"/>
              <w:right w:val="single" w:color="000000" w:sz="4" w:space="0"/>
            </w:tcBorders>
            <w:noWrap w:val="0"/>
            <w:vAlign w:val="center"/>
          </w:tcPr>
          <w:p w14:paraId="1B161DD4">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把</w:t>
            </w:r>
          </w:p>
        </w:tc>
      </w:tr>
      <w:tr w14:paraId="6A1816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400" w:type="pct"/>
            <w:vMerge w:val="continue"/>
            <w:tcBorders>
              <w:top w:val="single" w:color="000000" w:sz="4" w:space="0"/>
              <w:left w:val="single" w:color="000000" w:sz="4" w:space="0"/>
              <w:bottom w:val="single" w:color="000000" w:sz="4" w:space="0"/>
              <w:right w:val="single" w:color="000000" w:sz="4" w:space="0"/>
            </w:tcBorders>
            <w:noWrap w:val="0"/>
            <w:vAlign w:val="center"/>
          </w:tcPr>
          <w:p w14:paraId="5B6D2C3C">
            <w:pPr>
              <w:keepNext w:val="0"/>
              <w:keepLines w:val="0"/>
              <w:pageBreakBefore w:val="0"/>
              <w:kinsoku/>
              <w:wordWrap/>
              <w:overflowPunct/>
              <w:topLinePunct w:val="0"/>
              <w:autoSpaceDE/>
              <w:autoSpaceDN/>
              <w:bidi w:val="0"/>
              <w:adjustRightInd/>
              <w:snapToGrid/>
              <w:spacing w:line="360" w:lineRule="auto"/>
              <w:jc w:val="center"/>
              <w:rPr>
                <w:rFonts w:hint="eastAsia" w:ascii="黑体" w:hAnsi="黑体" w:eastAsia="黑体" w:cs="黑体"/>
                <w:b/>
                <w:bCs/>
                <w:i w:val="0"/>
                <w:iCs w:val="0"/>
                <w:color w:val="000000"/>
                <w:sz w:val="18"/>
                <w:szCs w:val="18"/>
                <w:highlight w:val="none"/>
                <w:u w:val="none"/>
              </w:rPr>
            </w:pPr>
          </w:p>
        </w:tc>
        <w:tc>
          <w:tcPr>
            <w:tcW w:w="282" w:type="pct"/>
            <w:tcBorders>
              <w:top w:val="single" w:color="000000" w:sz="4" w:space="0"/>
              <w:left w:val="single" w:color="000000" w:sz="4" w:space="0"/>
              <w:bottom w:val="single" w:color="000000" w:sz="4" w:space="0"/>
              <w:right w:val="single" w:color="000000" w:sz="4" w:space="0"/>
            </w:tcBorders>
            <w:noWrap/>
            <w:vAlign w:val="center"/>
          </w:tcPr>
          <w:p w14:paraId="78A652F3">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神经剥离器</w:t>
            </w:r>
          </w:p>
        </w:tc>
        <w:tc>
          <w:tcPr>
            <w:tcW w:w="3849" w:type="pct"/>
            <w:tcBorders>
              <w:top w:val="single" w:color="000000" w:sz="4" w:space="0"/>
              <w:left w:val="single" w:color="000000" w:sz="4" w:space="0"/>
              <w:bottom w:val="single" w:color="000000" w:sz="4" w:space="0"/>
              <w:right w:val="single" w:color="000000" w:sz="4" w:space="0"/>
            </w:tcBorders>
            <w:noWrap w:val="0"/>
            <w:vAlign w:val="center"/>
          </w:tcPr>
          <w:p w14:paraId="4D542733">
            <w:pPr>
              <w:keepNext w:val="0"/>
              <w:keepLines w:val="0"/>
              <w:pageBreakBefore w:val="0"/>
              <w:widowControl/>
              <w:suppressLineNumbers w:val="0"/>
              <w:kinsoku/>
              <w:wordWrap/>
              <w:overflowPunct/>
              <w:topLinePunct w:val="0"/>
              <w:autoSpaceDE/>
              <w:autoSpaceDN/>
              <w:bidi w:val="0"/>
              <w:adjustRightInd/>
              <w:snapToGrid/>
              <w:spacing w:after="220" w:afterAutospacing="0" w:line="360" w:lineRule="auto"/>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1.总长240mm，一头宽5mm，另一头带钩直径0.8mm，带槽，颈椎型。</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2.与患者接触部分的金属材料采用制造，该材料化学成分符合GB/T 3280-2015，应经热处理，其硬度为40-48HRC。</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3.产品表面亚光处理，不得有锋棱、毛刺、裂纹及明显的碰伤和划伤，其表面粗糙度不大于0.8umm。</w:t>
            </w:r>
          </w:p>
        </w:tc>
        <w:tc>
          <w:tcPr>
            <w:tcW w:w="194" w:type="pct"/>
            <w:tcBorders>
              <w:top w:val="single" w:color="000000" w:sz="4" w:space="0"/>
              <w:left w:val="single" w:color="000000" w:sz="4" w:space="0"/>
              <w:bottom w:val="single" w:color="000000" w:sz="4" w:space="0"/>
              <w:right w:val="single" w:color="000000" w:sz="4" w:space="0"/>
            </w:tcBorders>
            <w:noWrap w:val="0"/>
            <w:vAlign w:val="center"/>
          </w:tcPr>
          <w:p w14:paraId="6A96A24A">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1</w:t>
            </w:r>
          </w:p>
        </w:tc>
        <w:tc>
          <w:tcPr>
            <w:tcW w:w="272" w:type="pct"/>
            <w:tcBorders>
              <w:top w:val="single" w:color="000000" w:sz="4" w:space="0"/>
              <w:left w:val="single" w:color="000000" w:sz="4" w:space="0"/>
              <w:bottom w:val="single" w:color="000000" w:sz="4" w:space="0"/>
              <w:right w:val="single" w:color="000000" w:sz="4" w:space="0"/>
            </w:tcBorders>
            <w:noWrap w:val="0"/>
            <w:vAlign w:val="center"/>
          </w:tcPr>
          <w:p w14:paraId="55DE7375">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把</w:t>
            </w:r>
          </w:p>
        </w:tc>
      </w:tr>
      <w:tr w14:paraId="594A82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400" w:type="pct"/>
            <w:vMerge w:val="continue"/>
            <w:tcBorders>
              <w:top w:val="single" w:color="000000" w:sz="4" w:space="0"/>
              <w:left w:val="single" w:color="000000" w:sz="4" w:space="0"/>
              <w:bottom w:val="single" w:color="000000" w:sz="4" w:space="0"/>
              <w:right w:val="single" w:color="000000" w:sz="4" w:space="0"/>
            </w:tcBorders>
            <w:noWrap w:val="0"/>
            <w:vAlign w:val="center"/>
          </w:tcPr>
          <w:p w14:paraId="27074E2B">
            <w:pPr>
              <w:keepNext w:val="0"/>
              <w:keepLines w:val="0"/>
              <w:pageBreakBefore w:val="0"/>
              <w:kinsoku/>
              <w:wordWrap/>
              <w:overflowPunct/>
              <w:topLinePunct w:val="0"/>
              <w:autoSpaceDE/>
              <w:autoSpaceDN/>
              <w:bidi w:val="0"/>
              <w:adjustRightInd/>
              <w:snapToGrid/>
              <w:spacing w:line="360" w:lineRule="auto"/>
              <w:jc w:val="center"/>
              <w:rPr>
                <w:rFonts w:hint="eastAsia" w:ascii="黑体" w:hAnsi="黑体" w:eastAsia="黑体" w:cs="黑体"/>
                <w:b/>
                <w:bCs/>
                <w:i w:val="0"/>
                <w:iCs w:val="0"/>
                <w:color w:val="000000"/>
                <w:sz w:val="18"/>
                <w:szCs w:val="18"/>
                <w:highlight w:val="none"/>
                <w:u w:val="none"/>
              </w:rPr>
            </w:pPr>
          </w:p>
        </w:tc>
        <w:tc>
          <w:tcPr>
            <w:tcW w:w="282" w:type="pct"/>
            <w:tcBorders>
              <w:top w:val="single" w:color="000000" w:sz="4" w:space="0"/>
              <w:left w:val="single" w:color="000000" w:sz="4" w:space="0"/>
              <w:bottom w:val="single" w:color="000000" w:sz="4" w:space="0"/>
              <w:right w:val="single" w:color="000000" w:sz="4" w:space="0"/>
            </w:tcBorders>
            <w:noWrap/>
            <w:vAlign w:val="center"/>
          </w:tcPr>
          <w:p w14:paraId="55425A7A">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神经剥离器</w:t>
            </w:r>
          </w:p>
        </w:tc>
        <w:tc>
          <w:tcPr>
            <w:tcW w:w="3849" w:type="pct"/>
            <w:tcBorders>
              <w:top w:val="single" w:color="000000" w:sz="4" w:space="0"/>
              <w:left w:val="single" w:color="000000" w:sz="4" w:space="0"/>
              <w:bottom w:val="single" w:color="000000" w:sz="4" w:space="0"/>
              <w:right w:val="single" w:color="000000" w:sz="4" w:space="0"/>
            </w:tcBorders>
            <w:noWrap w:val="0"/>
            <w:vAlign w:val="center"/>
          </w:tcPr>
          <w:p w14:paraId="6831F2CB">
            <w:pPr>
              <w:keepNext w:val="0"/>
              <w:keepLines w:val="0"/>
              <w:pageBreakBefore w:val="0"/>
              <w:widowControl/>
              <w:suppressLineNumbers w:val="0"/>
              <w:kinsoku/>
              <w:wordWrap/>
              <w:overflowPunct/>
              <w:topLinePunct w:val="0"/>
              <w:autoSpaceDE/>
              <w:autoSpaceDN/>
              <w:bidi w:val="0"/>
              <w:adjustRightInd/>
              <w:snapToGrid/>
              <w:spacing w:after="220" w:afterAutospacing="0" w:line="360" w:lineRule="auto"/>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1.总长240mm，一头宽5mm，另一头带钩直径1mm，带钩，带槽，腰椎型。</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2.与患者接触部分的金属材料采用制造，该材料化学成分符合GB/T 3280-2015，应经热处理，其硬度为40-48HRC。</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3.产品表面亚光处理，不得有锋棱、毛刺、裂纹及明显的碰伤和划伤，其表面粗糙度不大于0.8umm。</w:t>
            </w:r>
          </w:p>
        </w:tc>
        <w:tc>
          <w:tcPr>
            <w:tcW w:w="194" w:type="pct"/>
            <w:tcBorders>
              <w:top w:val="single" w:color="000000" w:sz="4" w:space="0"/>
              <w:left w:val="single" w:color="000000" w:sz="4" w:space="0"/>
              <w:bottom w:val="single" w:color="000000" w:sz="4" w:space="0"/>
              <w:right w:val="single" w:color="000000" w:sz="4" w:space="0"/>
            </w:tcBorders>
            <w:noWrap w:val="0"/>
            <w:vAlign w:val="center"/>
          </w:tcPr>
          <w:p w14:paraId="19B96FF4">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1</w:t>
            </w:r>
          </w:p>
        </w:tc>
        <w:tc>
          <w:tcPr>
            <w:tcW w:w="272" w:type="pct"/>
            <w:tcBorders>
              <w:top w:val="single" w:color="000000" w:sz="4" w:space="0"/>
              <w:left w:val="single" w:color="000000" w:sz="4" w:space="0"/>
              <w:bottom w:val="single" w:color="000000" w:sz="4" w:space="0"/>
              <w:right w:val="single" w:color="000000" w:sz="4" w:space="0"/>
            </w:tcBorders>
            <w:noWrap w:val="0"/>
            <w:vAlign w:val="center"/>
          </w:tcPr>
          <w:p w14:paraId="07473319">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把</w:t>
            </w:r>
          </w:p>
        </w:tc>
      </w:tr>
    </w:tbl>
    <w:p w14:paraId="6E1ED897">
      <w:pPr>
        <w:rPr>
          <w:rFonts w:hint="eastAsia" w:ascii="黑体" w:hAnsi="黑体" w:eastAsia="黑体" w:cs="黑体"/>
          <w:b/>
          <w:bCs/>
          <w:sz w:val="18"/>
          <w:szCs w:val="18"/>
          <w:highlight w:val="none"/>
          <w:lang w:val="en-US" w:eastAsia="zh-CN"/>
        </w:rPr>
      </w:pPr>
      <w:r>
        <w:rPr>
          <w:rFonts w:hint="eastAsia" w:ascii="黑体" w:hAnsi="黑体" w:eastAsia="黑体" w:cs="黑体"/>
          <w:b/>
          <w:bCs/>
          <w:sz w:val="18"/>
          <w:szCs w:val="18"/>
          <w:highlight w:val="none"/>
          <w:lang w:val="en-US" w:eastAsia="zh-CN"/>
        </w:rPr>
        <w:br w:type="page"/>
      </w:r>
    </w:p>
    <w:p w14:paraId="7757256F">
      <w:pPr>
        <w:keepNext w:val="0"/>
        <w:keepLines w:val="0"/>
        <w:pageBreakBefore w:val="0"/>
        <w:kinsoku/>
        <w:wordWrap/>
        <w:overflowPunct/>
        <w:topLinePunct w:val="0"/>
        <w:autoSpaceDE/>
        <w:autoSpaceDN/>
        <w:bidi w:val="0"/>
        <w:adjustRightInd/>
        <w:snapToGrid/>
        <w:spacing w:line="360" w:lineRule="auto"/>
        <w:outlineLvl w:val="0"/>
        <w:rPr>
          <w:rFonts w:hint="eastAsia" w:ascii="黑体" w:hAnsi="黑体" w:eastAsia="黑体" w:cs="黑体"/>
          <w:b/>
          <w:bCs/>
          <w:sz w:val="18"/>
          <w:szCs w:val="18"/>
          <w:highlight w:val="none"/>
          <w:lang w:val="en-US" w:eastAsia="zh-CN"/>
        </w:rPr>
      </w:pPr>
      <w:r>
        <w:rPr>
          <w:rFonts w:hint="eastAsia" w:ascii="黑体" w:hAnsi="黑体" w:eastAsia="黑体" w:cs="黑体"/>
          <w:b/>
          <w:bCs/>
          <w:sz w:val="18"/>
          <w:szCs w:val="18"/>
          <w:highlight w:val="none"/>
          <w:lang w:val="en-US" w:eastAsia="zh-CN"/>
        </w:rPr>
        <w:t>二十五、手术室器械</w:t>
      </w:r>
    </w:p>
    <w:tbl>
      <w:tblPr>
        <w:tblStyle w:val="2"/>
        <w:tblW w:w="495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75"/>
        <w:gridCol w:w="478"/>
        <w:gridCol w:w="6497"/>
        <w:gridCol w:w="338"/>
        <w:gridCol w:w="449"/>
      </w:tblGrid>
      <w:tr w14:paraId="38A9C0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98" w:hRule="atLeast"/>
        </w:trPr>
        <w:tc>
          <w:tcPr>
            <w:tcW w:w="400" w:type="pct"/>
            <w:vMerge w:val="restart"/>
            <w:tcBorders>
              <w:top w:val="single" w:color="000000" w:sz="4" w:space="0"/>
              <w:left w:val="single" w:color="000000" w:sz="4" w:space="0"/>
              <w:bottom w:val="single" w:color="000000" w:sz="4" w:space="0"/>
              <w:right w:val="single" w:color="000000" w:sz="4" w:space="0"/>
            </w:tcBorders>
            <w:noWrap/>
            <w:vAlign w:val="center"/>
          </w:tcPr>
          <w:p w14:paraId="7EF7C7DB">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b/>
                <w:bCs/>
                <w:i w:val="0"/>
                <w:iCs w:val="0"/>
                <w:color w:val="000000"/>
                <w:sz w:val="18"/>
                <w:szCs w:val="18"/>
                <w:highlight w:val="none"/>
                <w:u w:val="none"/>
              </w:rPr>
            </w:pPr>
            <w:r>
              <w:rPr>
                <w:rFonts w:hint="eastAsia" w:ascii="黑体" w:hAnsi="黑体" w:eastAsia="黑体" w:cs="黑体"/>
                <w:b/>
                <w:bCs/>
                <w:i w:val="0"/>
                <w:iCs w:val="0"/>
                <w:color w:val="000000"/>
                <w:kern w:val="0"/>
                <w:sz w:val="18"/>
                <w:szCs w:val="18"/>
                <w:highlight w:val="none"/>
                <w:u w:val="none"/>
                <w:lang w:val="en-US" w:eastAsia="zh-CN" w:bidi="ar"/>
              </w:rPr>
              <w:t>手麻科</w:t>
            </w:r>
          </w:p>
        </w:tc>
        <w:tc>
          <w:tcPr>
            <w:tcW w:w="283" w:type="pct"/>
            <w:vMerge w:val="restart"/>
            <w:tcBorders>
              <w:top w:val="single" w:color="000000" w:sz="4" w:space="0"/>
              <w:left w:val="single" w:color="000000" w:sz="4" w:space="0"/>
              <w:bottom w:val="single" w:color="000000" w:sz="4" w:space="0"/>
              <w:right w:val="single" w:color="000000" w:sz="4" w:space="0"/>
            </w:tcBorders>
            <w:noWrap/>
            <w:vAlign w:val="center"/>
          </w:tcPr>
          <w:p w14:paraId="3092AF7D">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组织剪</w:t>
            </w:r>
          </w:p>
        </w:tc>
        <w:tc>
          <w:tcPr>
            <w:tcW w:w="3850" w:type="pct"/>
            <w:tcBorders>
              <w:top w:val="single" w:color="000000" w:sz="4" w:space="0"/>
              <w:left w:val="single" w:color="000000" w:sz="4" w:space="0"/>
              <w:bottom w:val="single" w:color="000000" w:sz="4" w:space="0"/>
              <w:right w:val="single" w:color="000000" w:sz="4" w:space="0"/>
            </w:tcBorders>
            <w:noWrap w:val="0"/>
            <w:vAlign w:val="center"/>
          </w:tcPr>
          <w:p w14:paraId="0EF53584">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1.长度180mm，弯型，综合。</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2.与患者接触部分采用医用不锈钢制造，该材料化学成分符合YY/T 0294.1-2016《外科器械金属材料第1部分：不锈钢》，应经热处理，硬度为48-56HRC。</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3.器械外表面刷光，不得有锋棱、毛刺及明显的碰伤和划痕，其表面粗糙度不大于0.8μm。</w:t>
            </w:r>
          </w:p>
        </w:tc>
        <w:tc>
          <w:tcPr>
            <w:tcW w:w="200" w:type="pct"/>
            <w:tcBorders>
              <w:top w:val="single" w:color="000000" w:sz="4" w:space="0"/>
              <w:left w:val="single" w:color="000000" w:sz="4" w:space="0"/>
              <w:bottom w:val="single" w:color="000000" w:sz="4" w:space="0"/>
              <w:right w:val="single" w:color="000000" w:sz="4" w:space="0"/>
            </w:tcBorders>
            <w:noWrap w:val="0"/>
            <w:vAlign w:val="center"/>
          </w:tcPr>
          <w:p w14:paraId="372733CA">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25</w:t>
            </w:r>
          </w:p>
        </w:tc>
        <w:tc>
          <w:tcPr>
            <w:tcW w:w="266" w:type="pct"/>
            <w:tcBorders>
              <w:top w:val="single" w:color="000000" w:sz="4" w:space="0"/>
              <w:left w:val="single" w:color="000000" w:sz="4" w:space="0"/>
              <w:bottom w:val="single" w:color="000000" w:sz="4" w:space="0"/>
              <w:right w:val="single" w:color="000000" w:sz="4" w:space="0"/>
            </w:tcBorders>
            <w:noWrap w:val="0"/>
            <w:vAlign w:val="center"/>
          </w:tcPr>
          <w:p w14:paraId="41423B63">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把</w:t>
            </w:r>
          </w:p>
        </w:tc>
      </w:tr>
      <w:tr w14:paraId="479D3E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98" w:hRule="atLeast"/>
        </w:trPr>
        <w:tc>
          <w:tcPr>
            <w:tcW w:w="400" w:type="pct"/>
            <w:vMerge w:val="continue"/>
            <w:tcBorders>
              <w:top w:val="single" w:color="000000" w:sz="4" w:space="0"/>
              <w:left w:val="single" w:color="000000" w:sz="4" w:space="0"/>
              <w:bottom w:val="single" w:color="000000" w:sz="4" w:space="0"/>
              <w:right w:val="single" w:color="000000" w:sz="4" w:space="0"/>
            </w:tcBorders>
            <w:noWrap/>
            <w:vAlign w:val="center"/>
          </w:tcPr>
          <w:p w14:paraId="04A32909">
            <w:pPr>
              <w:keepNext w:val="0"/>
              <w:keepLines w:val="0"/>
              <w:pageBreakBefore w:val="0"/>
              <w:kinsoku/>
              <w:wordWrap/>
              <w:overflowPunct/>
              <w:topLinePunct w:val="0"/>
              <w:autoSpaceDE/>
              <w:autoSpaceDN/>
              <w:bidi w:val="0"/>
              <w:adjustRightInd/>
              <w:snapToGrid/>
              <w:spacing w:line="360" w:lineRule="auto"/>
              <w:jc w:val="center"/>
              <w:rPr>
                <w:rFonts w:hint="eastAsia" w:ascii="黑体" w:hAnsi="黑体" w:eastAsia="黑体" w:cs="黑体"/>
                <w:b/>
                <w:bCs/>
                <w:i w:val="0"/>
                <w:iCs w:val="0"/>
                <w:color w:val="000000"/>
                <w:sz w:val="18"/>
                <w:szCs w:val="18"/>
                <w:highlight w:val="none"/>
                <w:u w:val="none"/>
              </w:rPr>
            </w:pPr>
          </w:p>
        </w:tc>
        <w:tc>
          <w:tcPr>
            <w:tcW w:w="283" w:type="pct"/>
            <w:vMerge w:val="continue"/>
            <w:tcBorders>
              <w:top w:val="single" w:color="000000" w:sz="4" w:space="0"/>
              <w:left w:val="single" w:color="000000" w:sz="4" w:space="0"/>
              <w:bottom w:val="single" w:color="000000" w:sz="4" w:space="0"/>
              <w:right w:val="single" w:color="000000" w:sz="4" w:space="0"/>
            </w:tcBorders>
            <w:noWrap/>
            <w:vAlign w:val="center"/>
          </w:tcPr>
          <w:p w14:paraId="2B868678">
            <w:pPr>
              <w:keepNext w:val="0"/>
              <w:keepLines w:val="0"/>
              <w:pageBreakBefore w:val="0"/>
              <w:kinsoku/>
              <w:wordWrap/>
              <w:overflowPunct/>
              <w:topLinePunct w:val="0"/>
              <w:autoSpaceDE/>
              <w:autoSpaceDN/>
              <w:bidi w:val="0"/>
              <w:adjustRightInd/>
              <w:snapToGrid/>
              <w:spacing w:line="360" w:lineRule="auto"/>
              <w:jc w:val="center"/>
              <w:rPr>
                <w:rFonts w:hint="eastAsia" w:ascii="黑体" w:hAnsi="黑体" w:eastAsia="黑体" w:cs="黑体"/>
                <w:i w:val="0"/>
                <w:iCs w:val="0"/>
                <w:color w:val="000000"/>
                <w:sz w:val="18"/>
                <w:szCs w:val="18"/>
                <w:highlight w:val="none"/>
                <w:u w:val="none"/>
              </w:rPr>
            </w:pPr>
          </w:p>
        </w:tc>
        <w:tc>
          <w:tcPr>
            <w:tcW w:w="3850" w:type="pct"/>
            <w:tcBorders>
              <w:top w:val="single" w:color="000000" w:sz="4" w:space="0"/>
              <w:left w:val="single" w:color="000000" w:sz="4" w:space="0"/>
              <w:bottom w:val="single" w:color="000000" w:sz="4" w:space="0"/>
              <w:right w:val="single" w:color="000000" w:sz="4" w:space="0"/>
            </w:tcBorders>
            <w:noWrap w:val="0"/>
            <w:vAlign w:val="center"/>
          </w:tcPr>
          <w:p w14:paraId="652E20EA">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1.长度200mm，弯型，综合。</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2.与患者接触部分采用医用不锈钢制造，该材料化学成分符合YY/T 0294.1-2016《外科器械金属材料第1部分：不锈钢》，应经热处理，硬度为48-56HRC。</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3.器械外表面刷光，不得有锋棱、毛刺及明显的碰伤和划痕，其表面粗糙度不大于0.8μm。</w:t>
            </w:r>
          </w:p>
        </w:tc>
        <w:tc>
          <w:tcPr>
            <w:tcW w:w="200" w:type="pct"/>
            <w:tcBorders>
              <w:top w:val="single" w:color="000000" w:sz="4" w:space="0"/>
              <w:left w:val="single" w:color="000000" w:sz="4" w:space="0"/>
              <w:bottom w:val="single" w:color="000000" w:sz="4" w:space="0"/>
              <w:right w:val="single" w:color="000000" w:sz="4" w:space="0"/>
            </w:tcBorders>
            <w:noWrap w:val="0"/>
            <w:vAlign w:val="center"/>
          </w:tcPr>
          <w:p w14:paraId="77B8D3CF">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100</w:t>
            </w:r>
          </w:p>
        </w:tc>
        <w:tc>
          <w:tcPr>
            <w:tcW w:w="266" w:type="pct"/>
            <w:tcBorders>
              <w:top w:val="single" w:color="000000" w:sz="4" w:space="0"/>
              <w:left w:val="single" w:color="000000" w:sz="4" w:space="0"/>
              <w:bottom w:val="single" w:color="000000" w:sz="4" w:space="0"/>
              <w:right w:val="single" w:color="000000" w:sz="4" w:space="0"/>
            </w:tcBorders>
            <w:noWrap w:val="0"/>
            <w:vAlign w:val="center"/>
          </w:tcPr>
          <w:p w14:paraId="654AA672">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把</w:t>
            </w:r>
          </w:p>
        </w:tc>
      </w:tr>
      <w:tr w14:paraId="635E6C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98" w:hRule="atLeast"/>
        </w:trPr>
        <w:tc>
          <w:tcPr>
            <w:tcW w:w="400" w:type="pct"/>
            <w:vMerge w:val="continue"/>
            <w:tcBorders>
              <w:top w:val="single" w:color="000000" w:sz="4" w:space="0"/>
              <w:left w:val="single" w:color="000000" w:sz="4" w:space="0"/>
              <w:bottom w:val="single" w:color="000000" w:sz="4" w:space="0"/>
              <w:right w:val="single" w:color="000000" w:sz="4" w:space="0"/>
            </w:tcBorders>
            <w:noWrap/>
            <w:vAlign w:val="center"/>
          </w:tcPr>
          <w:p w14:paraId="2F27ED2F">
            <w:pPr>
              <w:keepNext w:val="0"/>
              <w:keepLines w:val="0"/>
              <w:pageBreakBefore w:val="0"/>
              <w:kinsoku/>
              <w:wordWrap/>
              <w:overflowPunct/>
              <w:topLinePunct w:val="0"/>
              <w:autoSpaceDE/>
              <w:autoSpaceDN/>
              <w:bidi w:val="0"/>
              <w:adjustRightInd/>
              <w:snapToGrid/>
              <w:spacing w:line="360" w:lineRule="auto"/>
              <w:jc w:val="center"/>
              <w:rPr>
                <w:rFonts w:hint="eastAsia" w:ascii="黑体" w:hAnsi="黑体" w:eastAsia="黑体" w:cs="黑体"/>
                <w:b/>
                <w:bCs/>
                <w:i w:val="0"/>
                <w:iCs w:val="0"/>
                <w:color w:val="000000"/>
                <w:sz w:val="18"/>
                <w:szCs w:val="18"/>
                <w:highlight w:val="none"/>
                <w:u w:val="none"/>
              </w:rPr>
            </w:pPr>
          </w:p>
        </w:tc>
        <w:tc>
          <w:tcPr>
            <w:tcW w:w="283" w:type="pct"/>
            <w:vMerge w:val="continue"/>
            <w:tcBorders>
              <w:top w:val="single" w:color="000000" w:sz="4" w:space="0"/>
              <w:left w:val="single" w:color="000000" w:sz="4" w:space="0"/>
              <w:bottom w:val="single" w:color="000000" w:sz="4" w:space="0"/>
              <w:right w:val="single" w:color="000000" w:sz="4" w:space="0"/>
            </w:tcBorders>
            <w:noWrap/>
            <w:vAlign w:val="center"/>
          </w:tcPr>
          <w:p w14:paraId="2CF9070F">
            <w:pPr>
              <w:keepNext w:val="0"/>
              <w:keepLines w:val="0"/>
              <w:pageBreakBefore w:val="0"/>
              <w:kinsoku/>
              <w:wordWrap/>
              <w:overflowPunct/>
              <w:topLinePunct w:val="0"/>
              <w:autoSpaceDE/>
              <w:autoSpaceDN/>
              <w:bidi w:val="0"/>
              <w:adjustRightInd/>
              <w:snapToGrid/>
              <w:spacing w:line="360" w:lineRule="auto"/>
              <w:jc w:val="center"/>
              <w:rPr>
                <w:rFonts w:hint="eastAsia" w:ascii="黑体" w:hAnsi="黑体" w:eastAsia="黑体" w:cs="黑体"/>
                <w:i w:val="0"/>
                <w:iCs w:val="0"/>
                <w:color w:val="000000"/>
                <w:sz w:val="18"/>
                <w:szCs w:val="18"/>
                <w:highlight w:val="none"/>
                <w:u w:val="none"/>
              </w:rPr>
            </w:pPr>
          </w:p>
        </w:tc>
        <w:tc>
          <w:tcPr>
            <w:tcW w:w="3850" w:type="pct"/>
            <w:tcBorders>
              <w:top w:val="single" w:color="000000" w:sz="4" w:space="0"/>
              <w:left w:val="single" w:color="000000" w:sz="4" w:space="0"/>
              <w:bottom w:val="single" w:color="000000" w:sz="4" w:space="0"/>
              <w:right w:val="single" w:color="000000" w:sz="4" w:space="0"/>
            </w:tcBorders>
            <w:noWrap w:val="0"/>
            <w:vAlign w:val="center"/>
          </w:tcPr>
          <w:p w14:paraId="7E36CC4B">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1.长度220mm，弯型，综合。</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2.与患者接触部分采用医用不锈钢制造，该材料化学成分符合YY/T 0294.1-2016《外科器械金属材料第1部分：不锈钢》，应经热处理，硬度为48-56HRC。</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3.器械外表面刷光，不得有锋棱、毛刺及明显的碰伤和划痕，其表面粗糙度不大于0.8μm。</w:t>
            </w:r>
          </w:p>
        </w:tc>
        <w:tc>
          <w:tcPr>
            <w:tcW w:w="200" w:type="pct"/>
            <w:tcBorders>
              <w:top w:val="single" w:color="000000" w:sz="4" w:space="0"/>
              <w:left w:val="single" w:color="000000" w:sz="4" w:space="0"/>
              <w:bottom w:val="single" w:color="000000" w:sz="4" w:space="0"/>
              <w:right w:val="single" w:color="000000" w:sz="4" w:space="0"/>
            </w:tcBorders>
            <w:noWrap w:val="0"/>
            <w:vAlign w:val="center"/>
          </w:tcPr>
          <w:p w14:paraId="4275C282">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25</w:t>
            </w:r>
          </w:p>
        </w:tc>
        <w:tc>
          <w:tcPr>
            <w:tcW w:w="266" w:type="pct"/>
            <w:tcBorders>
              <w:top w:val="single" w:color="000000" w:sz="4" w:space="0"/>
              <w:left w:val="single" w:color="000000" w:sz="4" w:space="0"/>
              <w:bottom w:val="single" w:color="000000" w:sz="4" w:space="0"/>
              <w:right w:val="single" w:color="000000" w:sz="4" w:space="0"/>
            </w:tcBorders>
            <w:noWrap w:val="0"/>
            <w:vAlign w:val="center"/>
          </w:tcPr>
          <w:p w14:paraId="477423F6">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把</w:t>
            </w:r>
          </w:p>
        </w:tc>
      </w:tr>
      <w:tr w14:paraId="5AC7CE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98" w:hRule="atLeast"/>
        </w:trPr>
        <w:tc>
          <w:tcPr>
            <w:tcW w:w="400" w:type="pct"/>
            <w:vMerge w:val="continue"/>
            <w:tcBorders>
              <w:top w:val="single" w:color="000000" w:sz="4" w:space="0"/>
              <w:left w:val="single" w:color="000000" w:sz="4" w:space="0"/>
              <w:bottom w:val="single" w:color="000000" w:sz="4" w:space="0"/>
              <w:right w:val="single" w:color="000000" w:sz="4" w:space="0"/>
            </w:tcBorders>
            <w:noWrap/>
            <w:vAlign w:val="center"/>
          </w:tcPr>
          <w:p w14:paraId="33DC7CE4">
            <w:pPr>
              <w:keepNext w:val="0"/>
              <w:keepLines w:val="0"/>
              <w:pageBreakBefore w:val="0"/>
              <w:kinsoku/>
              <w:wordWrap/>
              <w:overflowPunct/>
              <w:topLinePunct w:val="0"/>
              <w:autoSpaceDE/>
              <w:autoSpaceDN/>
              <w:bidi w:val="0"/>
              <w:adjustRightInd/>
              <w:snapToGrid/>
              <w:spacing w:line="360" w:lineRule="auto"/>
              <w:jc w:val="center"/>
              <w:rPr>
                <w:rFonts w:hint="eastAsia" w:ascii="黑体" w:hAnsi="黑体" w:eastAsia="黑体" w:cs="黑体"/>
                <w:b/>
                <w:bCs/>
                <w:i w:val="0"/>
                <w:iCs w:val="0"/>
                <w:color w:val="000000"/>
                <w:sz w:val="18"/>
                <w:szCs w:val="18"/>
                <w:highlight w:val="none"/>
                <w:u w:val="none"/>
              </w:rPr>
            </w:pPr>
          </w:p>
        </w:tc>
        <w:tc>
          <w:tcPr>
            <w:tcW w:w="283" w:type="pct"/>
            <w:vMerge w:val="restart"/>
            <w:tcBorders>
              <w:top w:val="single" w:color="000000" w:sz="4" w:space="0"/>
              <w:left w:val="single" w:color="000000" w:sz="4" w:space="0"/>
              <w:bottom w:val="single" w:color="000000" w:sz="4" w:space="0"/>
              <w:right w:val="single" w:color="000000" w:sz="4" w:space="0"/>
            </w:tcBorders>
            <w:noWrap/>
            <w:vAlign w:val="center"/>
          </w:tcPr>
          <w:p w14:paraId="7EFC3B49">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线剪</w:t>
            </w:r>
          </w:p>
        </w:tc>
        <w:tc>
          <w:tcPr>
            <w:tcW w:w="3850" w:type="pct"/>
            <w:tcBorders>
              <w:top w:val="single" w:color="000000" w:sz="4" w:space="0"/>
              <w:left w:val="single" w:color="000000" w:sz="4" w:space="0"/>
              <w:bottom w:val="single" w:color="000000" w:sz="4" w:space="0"/>
              <w:right w:val="single" w:color="000000" w:sz="4" w:space="0"/>
            </w:tcBorders>
            <w:noWrap w:val="0"/>
            <w:vAlign w:val="center"/>
          </w:tcPr>
          <w:p w14:paraId="2C7B9ABD">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1.长度180mm，直圆。</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2.与患者接触部分采用医用不锈钢制造，该材料化学成分符合YY/T 0294.1-2016《外科器械金属材料第1部分：不锈钢》，应经热处理，硬度为48-56HRC。</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3.器械外表面刷光，不得有锋棱、毛刺及明显的碰伤和划痕，其表面粗糙度不大于0.8μm。</w:t>
            </w:r>
          </w:p>
        </w:tc>
        <w:tc>
          <w:tcPr>
            <w:tcW w:w="200" w:type="pct"/>
            <w:tcBorders>
              <w:top w:val="single" w:color="000000" w:sz="4" w:space="0"/>
              <w:left w:val="single" w:color="000000" w:sz="4" w:space="0"/>
              <w:bottom w:val="single" w:color="000000" w:sz="4" w:space="0"/>
              <w:right w:val="single" w:color="000000" w:sz="4" w:space="0"/>
            </w:tcBorders>
            <w:noWrap w:val="0"/>
            <w:vAlign w:val="center"/>
          </w:tcPr>
          <w:p w14:paraId="0B795AD4">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20</w:t>
            </w:r>
          </w:p>
        </w:tc>
        <w:tc>
          <w:tcPr>
            <w:tcW w:w="266" w:type="pct"/>
            <w:tcBorders>
              <w:top w:val="single" w:color="000000" w:sz="4" w:space="0"/>
              <w:left w:val="single" w:color="000000" w:sz="4" w:space="0"/>
              <w:bottom w:val="single" w:color="000000" w:sz="4" w:space="0"/>
              <w:right w:val="single" w:color="000000" w:sz="4" w:space="0"/>
            </w:tcBorders>
            <w:noWrap w:val="0"/>
            <w:vAlign w:val="center"/>
          </w:tcPr>
          <w:p w14:paraId="220A6EA4">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把</w:t>
            </w:r>
          </w:p>
        </w:tc>
      </w:tr>
      <w:tr w14:paraId="350A2C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98" w:hRule="atLeast"/>
        </w:trPr>
        <w:tc>
          <w:tcPr>
            <w:tcW w:w="400" w:type="pct"/>
            <w:vMerge w:val="continue"/>
            <w:tcBorders>
              <w:top w:val="single" w:color="000000" w:sz="4" w:space="0"/>
              <w:left w:val="single" w:color="000000" w:sz="4" w:space="0"/>
              <w:bottom w:val="single" w:color="000000" w:sz="4" w:space="0"/>
              <w:right w:val="single" w:color="000000" w:sz="4" w:space="0"/>
            </w:tcBorders>
            <w:noWrap/>
            <w:vAlign w:val="center"/>
          </w:tcPr>
          <w:p w14:paraId="37CC553D">
            <w:pPr>
              <w:keepNext w:val="0"/>
              <w:keepLines w:val="0"/>
              <w:pageBreakBefore w:val="0"/>
              <w:kinsoku/>
              <w:wordWrap/>
              <w:overflowPunct/>
              <w:topLinePunct w:val="0"/>
              <w:autoSpaceDE/>
              <w:autoSpaceDN/>
              <w:bidi w:val="0"/>
              <w:adjustRightInd/>
              <w:snapToGrid/>
              <w:spacing w:line="360" w:lineRule="auto"/>
              <w:jc w:val="center"/>
              <w:rPr>
                <w:rFonts w:hint="eastAsia" w:ascii="黑体" w:hAnsi="黑体" w:eastAsia="黑体" w:cs="黑体"/>
                <w:b/>
                <w:bCs/>
                <w:i w:val="0"/>
                <w:iCs w:val="0"/>
                <w:color w:val="000000"/>
                <w:sz w:val="18"/>
                <w:szCs w:val="18"/>
                <w:highlight w:val="none"/>
                <w:u w:val="none"/>
              </w:rPr>
            </w:pPr>
          </w:p>
        </w:tc>
        <w:tc>
          <w:tcPr>
            <w:tcW w:w="283" w:type="pct"/>
            <w:vMerge w:val="continue"/>
            <w:tcBorders>
              <w:top w:val="single" w:color="000000" w:sz="4" w:space="0"/>
              <w:left w:val="single" w:color="000000" w:sz="4" w:space="0"/>
              <w:bottom w:val="single" w:color="000000" w:sz="4" w:space="0"/>
              <w:right w:val="single" w:color="000000" w:sz="4" w:space="0"/>
            </w:tcBorders>
            <w:noWrap/>
            <w:vAlign w:val="center"/>
          </w:tcPr>
          <w:p w14:paraId="0839B519">
            <w:pPr>
              <w:keepNext w:val="0"/>
              <w:keepLines w:val="0"/>
              <w:pageBreakBefore w:val="0"/>
              <w:kinsoku/>
              <w:wordWrap/>
              <w:overflowPunct/>
              <w:topLinePunct w:val="0"/>
              <w:autoSpaceDE/>
              <w:autoSpaceDN/>
              <w:bidi w:val="0"/>
              <w:adjustRightInd/>
              <w:snapToGrid/>
              <w:spacing w:line="360" w:lineRule="auto"/>
              <w:jc w:val="center"/>
              <w:rPr>
                <w:rFonts w:hint="eastAsia" w:ascii="黑体" w:hAnsi="黑体" w:eastAsia="黑体" w:cs="黑体"/>
                <w:i w:val="0"/>
                <w:iCs w:val="0"/>
                <w:color w:val="000000"/>
                <w:sz w:val="18"/>
                <w:szCs w:val="18"/>
                <w:highlight w:val="none"/>
                <w:u w:val="none"/>
              </w:rPr>
            </w:pPr>
          </w:p>
        </w:tc>
        <w:tc>
          <w:tcPr>
            <w:tcW w:w="3850" w:type="pct"/>
            <w:tcBorders>
              <w:top w:val="single" w:color="000000" w:sz="4" w:space="0"/>
              <w:left w:val="single" w:color="000000" w:sz="4" w:space="0"/>
              <w:bottom w:val="single" w:color="000000" w:sz="4" w:space="0"/>
              <w:right w:val="single" w:color="000000" w:sz="4" w:space="0"/>
            </w:tcBorders>
            <w:noWrap w:val="0"/>
            <w:vAlign w:val="center"/>
          </w:tcPr>
          <w:p w14:paraId="3430F6DB">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1.长度180mm，弯圆。</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2.与患者接触部分采用医用不锈钢制造，该材料化学成分符合YY/T 0294.1-2016《外科器械金属材料第1部分：不锈钢》，应经热处理，硬度为48-56HRC。</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3.器械外表面刷光，不得有锋棱、毛刺及明显的碰伤和划痕，其表面粗糙度不大于0.8μm。</w:t>
            </w:r>
          </w:p>
        </w:tc>
        <w:tc>
          <w:tcPr>
            <w:tcW w:w="200" w:type="pct"/>
            <w:tcBorders>
              <w:top w:val="single" w:color="000000" w:sz="4" w:space="0"/>
              <w:left w:val="single" w:color="000000" w:sz="4" w:space="0"/>
              <w:bottom w:val="single" w:color="000000" w:sz="4" w:space="0"/>
              <w:right w:val="single" w:color="000000" w:sz="4" w:space="0"/>
            </w:tcBorders>
            <w:noWrap w:val="0"/>
            <w:vAlign w:val="center"/>
          </w:tcPr>
          <w:p w14:paraId="57CC4BC4">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80</w:t>
            </w:r>
          </w:p>
        </w:tc>
        <w:tc>
          <w:tcPr>
            <w:tcW w:w="266" w:type="pct"/>
            <w:tcBorders>
              <w:top w:val="single" w:color="000000" w:sz="4" w:space="0"/>
              <w:left w:val="single" w:color="000000" w:sz="4" w:space="0"/>
              <w:bottom w:val="single" w:color="000000" w:sz="4" w:space="0"/>
              <w:right w:val="single" w:color="000000" w:sz="4" w:space="0"/>
            </w:tcBorders>
            <w:noWrap w:val="0"/>
            <w:vAlign w:val="center"/>
          </w:tcPr>
          <w:p w14:paraId="0819C39D">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把</w:t>
            </w:r>
          </w:p>
        </w:tc>
      </w:tr>
      <w:tr w14:paraId="09A424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400" w:type="pct"/>
            <w:vMerge w:val="continue"/>
            <w:tcBorders>
              <w:top w:val="single" w:color="000000" w:sz="4" w:space="0"/>
              <w:left w:val="single" w:color="000000" w:sz="4" w:space="0"/>
              <w:bottom w:val="single" w:color="000000" w:sz="4" w:space="0"/>
              <w:right w:val="single" w:color="000000" w:sz="4" w:space="0"/>
            </w:tcBorders>
            <w:noWrap/>
            <w:vAlign w:val="center"/>
          </w:tcPr>
          <w:p w14:paraId="0887DE0D">
            <w:pPr>
              <w:keepNext w:val="0"/>
              <w:keepLines w:val="0"/>
              <w:pageBreakBefore w:val="0"/>
              <w:kinsoku/>
              <w:wordWrap/>
              <w:overflowPunct/>
              <w:topLinePunct w:val="0"/>
              <w:autoSpaceDE/>
              <w:autoSpaceDN/>
              <w:bidi w:val="0"/>
              <w:adjustRightInd/>
              <w:snapToGrid/>
              <w:spacing w:line="360" w:lineRule="auto"/>
              <w:jc w:val="center"/>
              <w:rPr>
                <w:rFonts w:hint="eastAsia" w:ascii="黑体" w:hAnsi="黑体" w:eastAsia="黑体" w:cs="黑体"/>
                <w:b/>
                <w:bCs/>
                <w:i w:val="0"/>
                <w:iCs w:val="0"/>
                <w:color w:val="000000"/>
                <w:sz w:val="18"/>
                <w:szCs w:val="18"/>
                <w:highlight w:val="none"/>
                <w:u w:val="none"/>
              </w:rPr>
            </w:pPr>
          </w:p>
        </w:tc>
        <w:tc>
          <w:tcPr>
            <w:tcW w:w="283" w:type="pct"/>
            <w:vMerge w:val="continue"/>
            <w:tcBorders>
              <w:top w:val="single" w:color="000000" w:sz="4" w:space="0"/>
              <w:left w:val="single" w:color="000000" w:sz="4" w:space="0"/>
              <w:bottom w:val="single" w:color="000000" w:sz="4" w:space="0"/>
              <w:right w:val="single" w:color="000000" w:sz="4" w:space="0"/>
            </w:tcBorders>
            <w:noWrap/>
            <w:vAlign w:val="center"/>
          </w:tcPr>
          <w:p w14:paraId="7C18A4BD">
            <w:pPr>
              <w:keepNext w:val="0"/>
              <w:keepLines w:val="0"/>
              <w:pageBreakBefore w:val="0"/>
              <w:kinsoku/>
              <w:wordWrap/>
              <w:overflowPunct/>
              <w:topLinePunct w:val="0"/>
              <w:autoSpaceDE/>
              <w:autoSpaceDN/>
              <w:bidi w:val="0"/>
              <w:adjustRightInd/>
              <w:snapToGrid/>
              <w:spacing w:line="360" w:lineRule="auto"/>
              <w:jc w:val="center"/>
              <w:rPr>
                <w:rFonts w:hint="eastAsia" w:ascii="黑体" w:hAnsi="黑体" w:eastAsia="黑体" w:cs="黑体"/>
                <w:i w:val="0"/>
                <w:iCs w:val="0"/>
                <w:color w:val="000000"/>
                <w:sz w:val="18"/>
                <w:szCs w:val="18"/>
                <w:highlight w:val="none"/>
                <w:u w:val="none"/>
              </w:rPr>
            </w:pPr>
          </w:p>
        </w:tc>
        <w:tc>
          <w:tcPr>
            <w:tcW w:w="3850" w:type="pct"/>
            <w:tcBorders>
              <w:top w:val="single" w:color="000000" w:sz="4" w:space="0"/>
              <w:left w:val="single" w:color="000000" w:sz="4" w:space="0"/>
              <w:bottom w:val="single" w:color="000000" w:sz="4" w:space="0"/>
              <w:right w:val="single" w:color="000000" w:sz="4" w:space="0"/>
            </w:tcBorders>
            <w:noWrap w:val="0"/>
            <w:vAlign w:val="center"/>
          </w:tcPr>
          <w:p w14:paraId="1C3229FD">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1.长100mm，头宽0.7mm，头厚0.8mm，头弯高度6.3mm，弯尖，小血管。</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2.与患者接触部分采用医用不锈钢制造，该材料化学成分符合YY/T 0294.1-2016《外科器械金属材料第1部分：不锈钢》，应经热处理，硬度为48-56HRC。</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3.器械外表面亚光，不得有锋棱、毛刺及明显的碰伤和划痕，其表面粗糙度不大于0.8μm。</w:t>
            </w:r>
          </w:p>
        </w:tc>
        <w:tc>
          <w:tcPr>
            <w:tcW w:w="200" w:type="pct"/>
            <w:tcBorders>
              <w:top w:val="single" w:color="000000" w:sz="4" w:space="0"/>
              <w:left w:val="single" w:color="000000" w:sz="4" w:space="0"/>
              <w:bottom w:val="single" w:color="000000" w:sz="4" w:space="0"/>
              <w:right w:val="single" w:color="000000" w:sz="4" w:space="0"/>
            </w:tcBorders>
            <w:noWrap w:val="0"/>
            <w:vAlign w:val="center"/>
          </w:tcPr>
          <w:p w14:paraId="2D140E1C">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25</w:t>
            </w:r>
          </w:p>
        </w:tc>
        <w:tc>
          <w:tcPr>
            <w:tcW w:w="266" w:type="pct"/>
            <w:tcBorders>
              <w:top w:val="single" w:color="000000" w:sz="4" w:space="0"/>
              <w:left w:val="single" w:color="000000" w:sz="4" w:space="0"/>
              <w:bottom w:val="single" w:color="000000" w:sz="4" w:space="0"/>
              <w:right w:val="single" w:color="000000" w:sz="4" w:space="0"/>
            </w:tcBorders>
            <w:noWrap w:val="0"/>
            <w:vAlign w:val="center"/>
          </w:tcPr>
          <w:p w14:paraId="6C7CEDFC">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把</w:t>
            </w:r>
          </w:p>
        </w:tc>
      </w:tr>
      <w:tr w14:paraId="32275B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98" w:hRule="atLeast"/>
        </w:trPr>
        <w:tc>
          <w:tcPr>
            <w:tcW w:w="400" w:type="pct"/>
            <w:vMerge w:val="continue"/>
            <w:tcBorders>
              <w:top w:val="single" w:color="000000" w:sz="4" w:space="0"/>
              <w:left w:val="single" w:color="000000" w:sz="4" w:space="0"/>
              <w:bottom w:val="single" w:color="000000" w:sz="4" w:space="0"/>
              <w:right w:val="single" w:color="000000" w:sz="4" w:space="0"/>
            </w:tcBorders>
            <w:noWrap/>
            <w:vAlign w:val="center"/>
          </w:tcPr>
          <w:p w14:paraId="064629CC">
            <w:pPr>
              <w:keepNext w:val="0"/>
              <w:keepLines w:val="0"/>
              <w:pageBreakBefore w:val="0"/>
              <w:kinsoku/>
              <w:wordWrap/>
              <w:overflowPunct/>
              <w:topLinePunct w:val="0"/>
              <w:autoSpaceDE/>
              <w:autoSpaceDN/>
              <w:bidi w:val="0"/>
              <w:adjustRightInd/>
              <w:snapToGrid/>
              <w:spacing w:line="360" w:lineRule="auto"/>
              <w:jc w:val="center"/>
              <w:rPr>
                <w:rFonts w:hint="eastAsia" w:ascii="黑体" w:hAnsi="黑体" w:eastAsia="黑体" w:cs="黑体"/>
                <w:b/>
                <w:bCs/>
                <w:i w:val="0"/>
                <w:iCs w:val="0"/>
                <w:color w:val="000000"/>
                <w:sz w:val="18"/>
                <w:szCs w:val="18"/>
                <w:highlight w:val="none"/>
                <w:u w:val="none"/>
              </w:rPr>
            </w:pPr>
          </w:p>
        </w:tc>
        <w:tc>
          <w:tcPr>
            <w:tcW w:w="283" w:type="pct"/>
            <w:vMerge w:val="continue"/>
            <w:tcBorders>
              <w:top w:val="single" w:color="000000" w:sz="4" w:space="0"/>
              <w:left w:val="single" w:color="000000" w:sz="4" w:space="0"/>
              <w:bottom w:val="single" w:color="000000" w:sz="4" w:space="0"/>
              <w:right w:val="single" w:color="000000" w:sz="4" w:space="0"/>
            </w:tcBorders>
            <w:noWrap/>
            <w:vAlign w:val="center"/>
          </w:tcPr>
          <w:p w14:paraId="7859D9DB">
            <w:pPr>
              <w:keepNext w:val="0"/>
              <w:keepLines w:val="0"/>
              <w:pageBreakBefore w:val="0"/>
              <w:kinsoku/>
              <w:wordWrap/>
              <w:overflowPunct/>
              <w:topLinePunct w:val="0"/>
              <w:autoSpaceDE/>
              <w:autoSpaceDN/>
              <w:bidi w:val="0"/>
              <w:adjustRightInd/>
              <w:snapToGrid/>
              <w:spacing w:line="360" w:lineRule="auto"/>
              <w:jc w:val="center"/>
              <w:rPr>
                <w:rFonts w:hint="eastAsia" w:ascii="黑体" w:hAnsi="黑体" w:eastAsia="黑体" w:cs="黑体"/>
                <w:i w:val="0"/>
                <w:iCs w:val="0"/>
                <w:color w:val="000000"/>
                <w:sz w:val="18"/>
                <w:szCs w:val="18"/>
                <w:highlight w:val="none"/>
                <w:u w:val="none"/>
              </w:rPr>
            </w:pPr>
          </w:p>
        </w:tc>
        <w:tc>
          <w:tcPr>
            <w:tcW w:w="3850" w:type="pct"/>
            <w:tcBorders>
              <w:top w:val="single" w:color="000000" w:sz="4" w:space="0"/>
              <w:left w:val="single" w:color="000000" w:sz="4" w:space="0"/>
              <w:bottom w:val="single" w:color="000000" w:sz="4" w:space="0"/>
              <w:right w:val="single" w:color="000000" w:sz="4" w:space="0"/>
            </w:tcBorders>
            <w:noWrap w:val="0"/>
            <w:vAlign w:val="center"/>
          </w:tcPr>
          <w:p w14:paraId="1420B8E0">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1.长100mm，弯圆，小血管。</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2.与患者接触部分采用医用不锈钢制造，该材料化学成分符合YY/T 0294.1-2016《外科器械金属材料第1部分：不锈钢》，应经热处理，硬度为48-56HRC。</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3.器械外表面亚光，不得有锋棱、毛刺及明显的碰伤和划痕，其表面粗糙度不大于0.8μm。</w:t>
            </w:r>
          </w:p>
        </w:tc>
        <w:tc>
          <w:tcPr>
            <w:tcW w:w="200" w:type="pct"/>
            <w:tcBorders>
              <w:top w:val="single" w:color="000000" w:sz="4" w:space="0"/>
              <w:left w:val="single" w:color="000000" w:sz="4" w:space="0"/>
              <w:bottom w:val="single" w:color="000000" w:sz="4" w:space="0"/>
              <w:right w:val="single" w:color="000000" w:sz="4" w:space="0"/>
            </w:tcBorders>
            <w:noWrap w:val="0"/>
            <w:vAlign w:val="center"/>
          </w:tcPr>
          <w:p w14:paraId="1D83D0AC">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25</w:t>
            </w:r>
          </w:p>
        </w:tc>
        <w:tc>
          <w:tcPr>
            <w:tcW w:w="266" w:type="pct"/>
            <w:tcBorders>
              <w:top w:val="single" w:color="000000" w:sz="4" w:space="0"/>
              <w:left w:val="single" w:color="000000" w:sz="4" w:space="0"/>
              <w:bottom w:val="single" w:color="000000" w:sz="4" w:space="0"/>
              <w:right w:val="single" w:color="000000" w:sz="4" w:space="0"/>
            </w:tcBorders>
            <w:noWrap w:val="0"/>
            <w:vAlign w:val="center"/>
          </w:tcPr>
          <w:p w14:paraId="62999B31">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把</w:t>
            </w:r>
          </w:p>
        </w:tc>
      </w:tr>
      <w:tr w14:paraId="0E0BBF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98" w:hRule="atLeast"/>
        </w:trPr>
        <w:tc>
          <w:tcPr>
            <w:tcW w:w="400" w:type="pct"/>
            <w:vMerge w:val="continue"/>
            <w:tcBorders>
              <w:top w:val="single" w:color="000000" w:sz="4" w:space="0"/>
              <w:left w:val="single" w:color="000000" w:sz="4" w:space="0"/>
              <w:bottom w:val="single" w:color="000000" w:sz="4" w:space="0"/>
              <w:right w:val="single" w:color="000000" w:sz="4" w:space="0"/>
            </w:tcBorders>
            <w:noWrap/>
            <w:vAlign w:val="center"/>
          </w:tcPr>
          <w:p w14:paraId="600B9154">
            <w:pPr>
              <w:keepNext w:val="0"/>
              <w:keepLines w:val="0"/>
              <w:pageBreakBefore w:val="0"/>
              <w:kinsoku/>
              <w:wordWrap/>
              <w:overflowPunct/>
              <w:topLinePunct w:val="0"/>
              <w:autoSpaceDE/>
              <w:autoSpaceDN/>
              <w:bidi w:val="0"/>
              <w:adjustRightInd/>
              <w:snapToGrid/>
              <w:spacing w:line="360" w:lineRule="auto"/>
              <w:jc w:val="center"/>
              <w:rPr>
                <w:rFonts w:hint="eastAsia" w:ascii="黑体" w:hAnsi="黑体" w:eastAsia="黑体" w:cs="黑体"/>
                <w:b/>
                <w:bCs/>
                <w:i w:val="0"/>
                <w:iCs w:val="0"/>
                <w:color w:val="000000"/>
                <w:sz w:val="18"/>
                <w:szCs w:val="18"/>
                <w:highlight w:val="none"/>
                <w:u w:val="none"/>
              </w:rPr>
            </w:pPr>
          </w:p>
        </w:tc>
        <w:tc>
          <w:tcPr>
            <w:tcW w:w="283" w:type="pct"/>
            <w:vMerge w:val="restart"/>
            <w:tcBorders>
              <w:top w:val="single" w:color="000000" w:sz="4" w:space="0"/>
              <w:left w:val="single" w:color="000000" w:sz="4" w:space="0"/>
              <w:bottom w:val="single" w:color="000000" w:sz="4" w:space="0"/>
              <w:right w:val="single" w:color="000000" w:sz="4" w:space="0"/>
            </w:tcBorders>
            <w:noWrap/>
            <w:vAlign w:val="center"/>
          </w:tcPr>
          <w:p w14:paraId="03C820FD">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海绵钳</w:t>
            </w:r>
          </w:p>
        </w:tc>
        <w:tc>
          <w:tcPr>
            <w:tcW w:w="3850" w:type="pct"/>
            <w:tcBorders>
              <w:top w:val="single" w:color="000000" w:sz="4" w:space="0"/>
              <w:left w:val="single" w:color="000000" w:sz="4" w:space="0"/>
              <w:bottom w:val="single" w:color="000000" w:sz="4" w:space="0"/>
              <w:right w:val="single" w:color="000000" w:sz="4" w:space="0"/>
            </w:tcBorders>
            <w:noWrap w:val="0"/>
            <w:vAlign w:val="center"/>
          </w:tcPr>
          <w:p w14:paraId="08704854">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1.总长250mm，直形，有齿，头宽12mm。</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2.与患者接触部分采用医用不锈钢制造，该材料化学成分符合YY/T 0294.1-2016《外科器械金属材料第1部分：不锈钢》，应经热处理，硬度为40-48HRC。</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3.器械外表面电镀，不得有锋棱、毛刺及明显的碰伤和划痕，其表面粗糙度不大于0.4μm。</w:t>
            </w:r>
          </w:p>
        </w:tc>
        <w:tc>
          <w:tcPr>
            <w:tcW w:w="200" w:type="pct"/>
            <w:tcBorders>
              <w:top w:val="single" w:color="000000" w:sz="4" w:space="0"/>
              <w:left w:val="single" w:color="000000" w:sz="4" w:space="0"/>
              <w:bottom w:val="single" w:color="000000" w:sz="4" w:space="0"/>
              <w:right w:val="single" w:color="000000" w:sz="4" w:space="0"/>
            </w:tcBorders>
            <w:noWrap w:val="0"/>
            <w:vAlign w:val="center"/>
          </w:tcPr>
          <w:p w14:paraId="5FBC06E0">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20</w:t>
            </w:r>
          </w:p>
        </w:tc>
        <w:tc>
          <w:tcPr>
            <w:tcW w:w="266" w:type="pct"/>
            <w:tcBorders>
              <w:top w:val="single" w:color="000000" w:sz="4" w:space="0"/>
              <w:left w:val="single" w:color="000000" w:sz="4" w:space="0"/>
              <w:bottom w:val="single" w:color="000000" w:sz="4" w:space="0"/>
              <w:right w:val="single" w:color="000000" w:sz="4" w:space="0"/>
            </w:tcBorders>
            <w:noWrap w:val="0"/>
            <w:vAlign w:val="center"/>
          </w:tcPr>
          <w:p w14:paraId="0608DC18">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把</w:t>
            </w:r>
          </w:p>
        </w:tc>
      </w:tr>
      <w:tr w14:paraId="209CAD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98" w:hRule="atLeast"/>
        </w:trPr>
        <w:tc>
          <w:tcPr>
            <w:tcW w:w="400" w:type="pct"/>
            <w:vMerge w:val="continue"/>
            <w:tcBorders>
              <w:top w:val="single" w:color="000000" w:sz="4" w:space="0"/>
              <w:left w:val="single" w:color="000000" w:sz="4" w:space="0"/>
              <w:bottom w:val="single" w:color="000000" w:sz="4" w:space="0"/>
              <w:right w:val="single" w:color="000000" w:sz="4" w:space="0"/>
            </w:tcBorders>
            <w:noWrap/>
            <w:vAlign w:val="center"/>
          </w:tcPr>
          <w:p w14:paraId="27CD8D6C">
            <w:pPr>
              <w:keepNext w:val="0"/>
              <w:keepLines w:val="0"/>
              <w:pageBreakBefore w:val="0"/>
              <w:kinsoku/>
              <w:wordWrap/>
              <w:overflowPunct/>
              <w:topLinePunct w:val="0"/>
              <w:autoSpaceDE/>
              <w:autoSpaceDN/>
              <w:bidi w:val="0"/>
              <w:adjustRightInd/>
              <w:snapToGrid/>
              <w:spacing w:line="360" w:lineRule="auto"/>
              <w:jc w:val="center"/>
              <w:rPr>
                <w:rFonts w:hint="eastAsia" w:ascii="黑体" w:hAnsi="黑体" w:eastAsia="黑体" w:cs="黑体"/>
                <w:b/>
                <w:bCs/>
                <w:i w:val="0"/>
                <w:iCs w:val="0"/>
                <w:color w:val="000000"/>
                <w:sz w:val="18"/>
                <w:szCs w:val="18"/>
                <w:highlight w:val="none"/>
                <w:u w:val="none"/>
              </w:rPr>
            </w:pPr>
          </w:p>
        </w:tc>
        <w:tc>
          <w:tcPr>
            <w:tcW w:w="283" w:type="pct"/>
            <w:vMerge w:val="continue"/>
            <w:tcBorders>
              <w:top w:val="single" w:color="000000" w:sz="4" w:space="0"/>
              <w:left w:val="single" w:color="000000" w:sz="4" w:space="0"/>
              <w:bottom w:val="single" w:color="000000" w:sz="4" w:space="0"/>
              <w:right w:val="single" w:color="000000" w:sz="4" w:space="0"/>
            </w:tcBorders>
            <w:noWrap/>
            <w:vAlign w:val="center"/>
          </w:tcPr>
          <w:p w14:paraId="69BFD2C9">
            <w:pPr>
              <w:keepNext w:val="0"/>
              <w:keepLines w:val="0"/>
              <w:pageBreakBefore w:val="0"/>
              <w:kinsoku/>
              <w:wordWrap/>
              <w:overflowPunct/>
              <w:topLinePunct w:val="0"/>
              <w:autoSpaceDE/>
              <w:autoSpaceDN/>
              <w:bidi w:val="0"/>
              <w:adjustRightInd/>
              <w:snapToGrid/>
              <w:spacing w:line="360" w:lineRule="auto"/>
              <w:jc w:val="center"/>
              <w:rPr>
                <w:rFonts w:hint="eastAsia" w:ascii="黑体" w:hAnsi="黑体" w:eastAsia="黑体" w:cs="黑体"/>
                <w:i w:val="0"/>
                <w:iCs w:val="0"/>
                <w:color w:val="000000"/>
                <w:sz w:val="18"/>
                <w:szCs w:val="18"/>
                <w:highlight w:val="none"/>
                <w:u w:val="none"/>
              </w:rPr>
            </w:pPr>
          </w:p>
        </w:tc>
        <w:tc>
          <w:tcPr>
            <w:tcW w:w="3850" w:type="pct"/>
            <w:tcBorders>
              <w:top w:val="single" w:color="000000" w:sz="4" w:space="0"/>
              <w:left w:val="single" w:color="000000" w:sz="4" w:space="0"/>
              <w:bottom w:val="single" w:color="000000" w:sz="4" w:space="0"/>
              <w:right w:val="single" w:color="000000" w:sz="4" w:space="0"/>
            </w:tcBorders>
            <w:noWrap w:val="0"/>
            <w:vAlign w:val="center"/>
          </w:tcPr>
          <w:p w14:paraId="1085F844">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1.总长250mm，弯形，有齿，头宽12mm。</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2.与患者接触部分采用医用不锈钢制造，该材料化学成分符合YY/T 0294.1-2016《外科器械金属材料第1部分：不锈钢》，应经热处理，硬度为40-48HRC。</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3.器械外表面电镀，不得有锋棱、毛刺及明显的碰伤和划痕，其表面粗糙度不大于0.4μm。</w:t>
            </w:r>
          </w:p>
        </w:tc>
        <w:tc>
          <w:tcPr>
            <w:tcW w:w="200" w:type="pct"/>
            <w:tcBorders>
              <w:top w:val="single" w:color="000000" w:sz="4" w:space="0"/>
              <w:left w:val="single" w:color="000000" w:sz="4" w:space="0"/>
              <w:bottom w:val="single" w:color="000000" w:sz="4" w:space="0"/>
              <w:right w:val="single" w:color="000000" w:sz="4" w:space="0"/>
            </w:tcBorders>
            <w:noWrap w:val="0"/>
            <w:vAlign w:val="center"/>
          </w:tcPr>
          <w:p w14:paraId="4984903D">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60</w:t>
            </w:r>
          </w:p>
        </w:tc>
        <w:tc>
          <w:tcPr>
            <w:tcW w:w="266" w:type="pct"/>
            <w:tcBorders>
              <w:top w:val="single" w:color="000000" w:sz="4" w:space="0"/>
              <w:left w:val="single" w:color="000000" w:sz="4" w:space="0"/>
              <w:bottom w:val="single" w:color="000000" w:sz="4" w:space="0"/>
              <w:right w:val="single" w:color="000000" w:sz="4" w:space="0"/>
            </w:tcBorders>
            <w:noWrap w:val="0"/>
            <w:vAlign w:val="center"/>
          </w:tcPr>
          <w:p w14:paraId="6818D41D">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把</w:t>
            </w:r>
          </w:p>
        </w:tc>
      </w:tr>
      <w:tr w14:paraId="4AC0FD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00" w:hRule="atLeast"/>
        </w:trPr>
        <w:tc>
          <w:tcPr>
            <w:tcW w:w="400" w:type="pct"/>
            <w:vMerge w:val="continue"/>
            <w:tcBorders>
              <w:top w:val="single" w:color="000000" w:sz="4" w:space="0"/>
              <w:left w:val="single" w:color="000000" w:sz="4" w:space="0"/>
              <w:bottom w:val="single" w:color="000000" w:sz="4" w:space="0"/>
              <w:right w:val="single" w:color="000000" w:sz="4" w:space="0"/>
            </w:tcBorders>
            <w:noWrap/>
            <w:vAlign w:val="center"/>
          </w:tcPr>
          <w:p w14:paraId="732AAC4D">
            <w:pPr>
              <w:keepNext w:val="0"/>
              <w:keepLines w:val="0"/>
              <w:pageBreakBefore w:val="0"/>
              <w:kinsoku/>
              <w:wordWrap/>
              <w:overflowPunct/>
              <w:topLinePunct w:val="0"/>
              <w:autoSpaceDE/>
              <w:autoSpaceDN/>
              <w:bidi w:val="0"/>
              <w:adjustRightInd/>
              <w:snapToGrid/>
              <w:spacing w:line="360" w:lineRule="auto"/>
              <w:jc w:val="center"/>
              <w:rPr>
                <w:rFonts w:hint="eastAsia" w:ascii="黑体" w:hAnsi="黑体" w:eastAsia="黑体" w:cs="黑体"/>
                <w:b/>
                <w:bCs/>
                <w:i w:val="0"/>
                <w:iCs w:val="0"/>
                <w:color w:val="000000"/>
                <w:sz w:val="18"/>
                <w:szCs w:val="18"/>
                <w:highlight w:val="none"/>
                <w:u w:val="none"/>
              </w:rPr>
            </w:pPr>
          </w:p>
        </w:tc>
        <w:tc>
          <w:tcPr>
            <w:tcW w:w="283" w:type="pct"/>
            <w:vMerge w:val="restart"/>
            <w:tcBorders>
              <w:top w:val="single" w:color="000000" w:sz="4" w:space="0"/>
              <w:left w:val="single" w:color="000000" w:sz="4" w:space="0"/>
              <w:bottom w:val="single" w:color="000000" w:sz="4" w:space="0"/>
              <w:right w:val="single" w:color="000000" w:sz="4" w:space="0"/>
            </w:tcBorders>
            <w:noWrap/>
            <w:vAlign w:val="center"/>
          </w:tcPr>
          <w:p w14:paraId="7861D6B3">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镊子</w:t>
            </w:r>
          </w:p>
        </w:tc>
        <w:tc>
          <w:tcPr>
            <w:tcW w:w="3850" w:type="pct"/>
            <w:tcBorders>
              <w:top w:val="single" w:color="000000" w:sz="4" w:space="0"/>
              <w:left w:val="single" w:color="000000" w:sz="4" w:space="0"/>
              <w:bottom w:val="single" w:color="000000" w:sz="4" w:space="0"/>
              <w:right w:val="single" w:color="000000" w:sz="4" w:space="0"/>
            </w:tcBorders>
            <w:noWrap w:val="0"/>
            <w:vAlign w:val="center"/>
          </w:tcPr>
          <w:p w14:paraId="3E4C7FF0">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1.长120mm，头宽0.8mm，直，有钩，长度公差±5mm；</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2.与患者接触部分的金属材料采用医用不锈钢材料制造，该材料化学成分符合GB/T 3280-2015 ，应经热处理，其硬度为40HRC-48HRC。</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3.外表面亚光处理，粗糙度Ra不大于0.8µm。</w:t>
            </w:r>
          </w:p>
        </w:tc>
        <w:tc>
          <w:tcPr>
            <w:tcW w:w="200" w:type="pct"/>
            <w:tcBorders>
              <w:top w:val="single" w:color="000000" w:sz="4" w:space="0"/>
              <w:left w:val="single" w:color="000000" w:sz="4" w:space="0"/>
              <w:bottom w:val="single" w:color="000000" w:sz="4" w:space="0"/>
              <w:right w:val="single" w:color="000000" w:sz="4" w:space="0"/>
            </w:tcBorders>
            <w:noWrap w:val="0"/>
            <w:vAlign w:val="center"/>
          </w:tcPr>
          <w:p w14:paraId="5C910089">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30</w:t>
            </w:r>
          </w:p>
        </w:tc>
        <w:tc>
          <w:tcPr>
            <w:tcW w:w="266" w:type="pct"/>
            <w:tcBorders>
              <w:top w:val="single" w:color="000000" w:sz="4" w:space="0"/>
              <w:left w:val="single" w:color="000000" w:sz="4" w:space="0"/>
              <w:bottom w:val="single" w:color="000000" w:sz="4" w:space="0"/>
              <w:right w:val="single" w:color="000000" w:sz="4" w:space="0"/>
            </w:tcBorders>
            <w:noWrap w:val="0"/>
            <w:vAlign w:val="center"/>
          </w:tcPr>
          <w:p w14:paraId="5E3AD787">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把</w:t>
            </w:r>
          </w:p>
        </w:tc>
      </w:tr>
      <w:tr w14:paraId="55F8DB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98" w:hRule="atLeast"/>
        </w:trPr>
        <w:tc>
          <w:tcPr>
            <w:tcW w:w="400" w:type="pct"/>
            <w:vMerge w:val="continue"/>
            <w:tcBorders>
              <w:top w:val="single" w:color="000000" w:sz="4" w:space="0"/>
              <w:left w:val="single" w:color="000000" w:sz="4" w:space="0"/>
              <w:bottom w:val="single" w:color="000000" w:sz="4" w:space="0"/>
              <w:right w:val="single" w:color="000000" w:sz="4" w:space="0"/>
            </w:tcBorders>
            <w:noWrap/>
            <w:vAlign w:val="center"/>
          </w:tcPr>
          <w:p w14:paraId="7F95BEDA">
            <w:pPr>
              <w:keepNext w:val="0"/>
              <w:keepLines w:val="0"/>
              <w:pageBreakBefore w:val="0"/>
              <w:kinsoku/>
              <w:wordWrap/>
              <w:overflowPunct/>
              <w:topLinePunct w:val="0"/>
              <w:autoSpaceDE/>
              <w:autoSpaceDN/>
              <w:bidi w:val="0"/>
              <w:adjustRightInd/>
              <w:snapToGrid/>
              <w:spacing w:line="360" w:lineRule="auto"/>
              <w:jc w:val="center"/>
              <w:rPr>
                <w:rFonts w:hint="eastAsia" w:ascii="黑体" w:hAnsi="黑体" w:eastAsia="黑体" w:cs="黑体"/>
                <w:b/>
                <w:bCs/>
                <w:i w:val="0"/>
                <w:iCs w:val="0"/>
                <w:color w:val="000000"/>
                <w:sz w:val="18"/>
                <w:szCs w:val="18"/>
                <w:highlight w:val="none"/>
                <w:u w:val="none"/>
              </w:rPr>
            </w:pPr>
          </w:p>
        </w:tc>
        <w:tc>
          <w:tcPr>
            <w:tcW w:w="283" w:type="pct"/>
            <w:vMerge w:val="continue"/>
            <w:tcBorders>
              <w:top w:val="single" w:color="000000" w:sz="4" w:space="0"/>
              <w:left w:val="single" w:color="000000" w:sz="4" w:space="0"/>
              <w:bottom w:val="single" w:color="000000" w:sz="4" w:space="0"/>
              <w:right w:val="single" w:color="000000" w:sz="4" w:space="0"/>
            </w:tcBorders>
            <w:noWrap/>
            <w:vAlign w:val="center"/>
          </w:tcPr>
          <w:p w14:paraId="2169FE32">
            <w:pPr>
              <w:keepNext w:val="0"/>
              <w:keepLines w:val="0"/>
              <w:pageBreakBefore w:val="0"/>
              <w:kinsoku/>
              <w:wordWrap/>
              <w:overflowPunct/>
              <w:topLinePunct w:val="0"/>
              <w:autoSpaceDE/>
              <w:autoSpaceDN/>
              <w:bidi w:val="0"/>
              <w:adjustRightInd/>
              <w:snapToGrid/>
              <w:spacing w:line="360" w:lineRule="auto"/>
              <w:jc w:val="center"/>
              <w:rPr>
                <w:rFonts w:hint="eastAsia" w:ascii="黑体" w:hAnsi="黑体" w:eastAsia="黑体" w:cs="黑体"/>
                <w:i w:val="0"/>
                <w:iCs w:val="0"/>
                <w:color w:val="000000"/>
                <w:sz w:val="18"/>
                <w:szCs w:val="18"/>
                <w:highlight w:val="none"/>
                <w:u w:val="none"/>
              </w:rPr>
            </w:pPr>
          </w:p>
        </w:tc>
        <w:tc>
          <w:tcPr>
            <w:tcW w:w="3850" w:type="pct"/>
            <w:tcBorders>
              <w:top w:val="single" w:color="000000" w:sz="4" w:space="0"/>
              <w:left w:val="single" w:color="000000" w:sz="4" w:space="0"/>
              <w:bottom w:val="single" w:color="000000" w:sz="4" w:space="0"/>
              <w:right w:val="single" w:color="000000" w:sz="4" w:space="0"/>
            </w:tcBorders>
            <w:noWrap w:val="0"/>
            <w:vAlign w:val="center"/>
          </w:tcPr>
          <w:p w14:paraId="180E4C92">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1.长125mm，1*2钩，直。</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2.与患者接触部分采用医用不锈钢制造，该材料化学成分符合YY/T 0294.1-2016《外科器械金属材料第1部分：不锈钢》，应经热处理，硬度为40-48HRC。</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3.器械外表面刷光，不得有锋棱、毛刺及明显的碰伤和划痕，其表面粗糙度不大于0.8μm。</w:t>
            </w:r>
          </w:p>
        </w:tc>
        <w:tc>
          <w:tcPr>
            <w:tcW w:w="200" w:type="pct"/>
            <w:tcBorders>
              <w:top w:val="single" w:color="000000" w:sz="4" w:space="0"/>
              <w:left w:val="single" w:color="000000" w:sz="4" w:space="0"/>
              <w:bottom w:val="single" w:color="000000" w:sz="4" w:space="0"/>
              <w:right w:val="single" w:color="000000" w:sz="4" w:space="0"/>
            </w:tcBorders>
            <w:noWrap w:val="0"/>
            <w:vAlign w:val="center"/>
          </w:tcPr>
          <w:p w14:paraId="5BFFAE3D">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120</w:t>
            </w:r>
          </w:p>
        </w:tc>
        <w:tc>
          <w:tcPr>
            <w:tcW w:w="266" w:type="pct"/>
            <w:tcBorders>
              <w:top w:val="single" w:color="000000" w:sz="4" w:space="0"/>
              <w:left w:val="single" w:color="000000" w:sz="4" w:space="0"/>
              <w:bottom w:val="single" w:color="000000" w:sz="4" w:space="0"/>
              <w:right w:val="single" w:color="000000" w:sz="4" w:space="0"/>
            </w:tcBorders>
            <w:noWrap w:val="0"/>
            <w:vAlign w:val="center"/>
          </w:tcPr>
          <w:p w14:paraId="78DC9EE4">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把</w:t>
            </w:r>
          </w:p>
        </w:tc>
      </w:tr>
      <w:tr w14:paraId="4CCC47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98" w:hRule="atLeast"/>
        </w:trPr>
        <w:tc>
          <w:tcPr>
            <w:tcW w:w="400" w:type="pct"/>
            <w:vMerge w:val="continue"/>
            <w:tcBorders>
              <w:top w:val="single" w:color="000000" w:sz="4" w:space="0"/>
              <w:left w:val="single" w:color="000000" w:sz="4" w:space="0"/>
              <w:bottom w:val="single" w:color="000000" w:sz="4" w:space="0"/>
              <w:right w:val="single" w:color="000000" w:sz="4" w:space="0"/>
            </w:tcBorders>
            <w:noWrap/>
            <w:vAlign w:val="center"/>
          </w:tcPr>
          <w:p w14:paraId="7023D07A">
            <w:pPr>
              <w:keepNext w:val="0"/>
              <w:keepLines w:val="0"/>
              <w:pageBreakBefore w:val="0"/>
              <w:kinsoku/>
              <w:wordWrap/>
              <w:overflowPunct/>
              <w:topLinePunct w:val="0"/>
              <w:autoSpaceDE/>
              <w:autoSpaceDN/>
              <w:bidi w:val="0"/>
              <w:adjustRightInd/>
              <w:snapToGrid/>
              <w:spacing w:line="360" w:lineRule="auto"/>
              <w:jc w:val="center"/>
              <w:rPr>
                <w:rFonts w:hint="eastAsia" w:ascii="黑体" w:hAnsi="黑体" w:eastAsia="黑体" w:cs="黑体"/>
                <w:b/>
                <w:bCs/>
                <w:i w:val="0"/>
                <w:iCs w:val="0"/>
                <w:color w:val="000000"/>
                <w:sz w:val="18"/>
                <w:szCs w:val="18"/>
                <w:highlight w:val="none"/>
                <w:u w:val="none"/>
              </w:rPr>
            </w:pPr>
          </w:p>
        </w:tc>
        <w:tc>
          <w:tcPr>
            <w:tcW w:w="283" w:type="pct"/>
            <w:vMerge w:val="continue"/>
            <w:tcBorders>
              <w:top w:val="single" w:color="000000" w:sz="4" w:space="0"/>
              <w:left w:val="single" w:color="000000" w:sz="4" w:space="0"/>
              <w:bottom w:val="single" w:color="000000" w:sz="4" w:space="0"/>
              <w:right w:val="single" w:color="000000" w:sz="4" w:space="0"/>
            </w:tcBorders>
            <w:noWrap/>
            <w:vAlign w:val="center"/>
          </w:tcPr>
          <w:p w14:paraId="645FD956">
            <w:pPr>
              <w:keepNext w:val="0"/>
              <w:keepLines w:val="0"/>
              <w:pageBreakBefore w:val="0"/>
              <w:kinsoku/>
              <w:wordWrap/>
              <w:overflowPunct/>
              <w:topLinePunct w:val="0"/>
              <w:autoSpaceDE/>
              <w:autoSpaceDN/>
              <w:bidi w:val="0"/>
              <w:adjustRightInd/>
              <w:snapToGrid/>
              <w:spacing w:line="360" w:lineRule="auto"/>
              <w:jc w:val="center"/>
              <w:rPr>
                <w:rFonts w:hint="eastAsia" w:ascii="黑体" w:hAnsi="黑体" w:eastAsia="黑体" w:cs="黑体"/>
                <w:i w:val="0"/>
                <w:iCs w:val="0"/>
                <w:color w:val="000000"/>
                <w:sz w:val="18"/>
                <w:szCs w:val="18"/>
                <w:highlight w:val="none"/>
                <w:u w:val="none"/>
              </w:rPr>
            </w:pPr>
          </w:p>
        </w:tc>
        <w:tc>
          <w:tcPr>
            <w:tcW w:w="3850" w:type="pct"/>
            <w:tcBorders>
              <w:top w:val="single" w:color="000000" w:sz="4" w:space="0"/>
              <w:left w:val="single" w:color="000000" w:sz="4" w:space="0"/>
              <w:bottom w:val="single" w:color="000000" w:sz="4" w:space="0"/>
              <w:right w:val="single" w:color="000000" w:sz="4" w:space="0"/>
            </w:tcBorders>
            <w:noWrap w:val="0"/>
            <w:vAlign w:val="center"/>
          </w:tcPr>
          <w:p w14:paraId="19B4E98F">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1.总长250mm，直型，横齿。</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2.与患者接触部分采用医用不锈钢制造，该材料化学成分符合YY/T 0294.1-2016《外科器械金属材料第1部分：不锈钢》，应经热处理，其硬度为40-48HRC。</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3.器械外表面刷光处理，不得有锋棱、毛刺及明显的碰伤和划痕，其表面粗糙度不大于0.8μm。</w:t>
            </w:r>
          </w:p>
        </w:tc>
        <w:tc>
          <w:tcPr>
            <w:tcW w:w="200" w:type="pct"/>
            <w:tcBorders>
              <w:top w:val="single" w:color="000000" w:sz="4" w:space="0"/>
              <w:left w:val="single" w:color="000000" w:sz="4" w:space="0"/>
              <w:bottom w:val="single" w:color="000000" w:sz="4" w:space="0"/>
              <w:right w:val="single" w:color="000000" w:sz="4" w:space="0"/>
            </w:tcBorders>
            <w:noWrap w:val="0"/>
            <w:vAlign w:val="center"/>
          </w:tcPr>
          <w:p w14:paraId="1B5A127C">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20</w:t>
            </w:r>
          </w:p>
        </w:tc>
        <w:tc>
          <w:tcPr>
            <w:tcW w:w="266" w:type="pct"/>
            <w:tcBorders>
              <w:top w:val="single" w:color="000000" w:sz="4" w:space="0"/>
              <w:left w:val="single" w:color="000000" w:sz="4" w:space="0"/>
              <w:bottom w:val="single" w:color="000000" w:sz="4" w:space="0"/>
              <w:right w:val="single" w:color="000000" w:sz="4" w:space="0"/>
            </w:tcBorders>
            <w:noWrap w:val="0"/>
            <w:vAlign w:val="center"/>
          </w:tcPr>
          <w:p w14:paraId="65048AED">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把</w:t>
            </w:r>
          </w:p>
        </w:tc>
      </w:tr>
      <w:tr w14:paraId="008DFE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98" w:hRule="atLeast"/>
        </w:trPr>
        <w:tc>
          <w:tcPr>
            <w:tcW w:w="400" w:type="pct"/>
            <w:vMerge w:val="continue"/>
            <w:tcBorders>
              <w:top w:val="single" w:color="000000" w:sz="4" w:space="0"/>
              <w:left w:val="single" w:color="000000" w:sz="4" w:space="0"/>
              <w:bottom w:val="single" w:color="000000" w:sz="4" w:space="0"/>
              <w:right w:val="single" w:color="000000" w:sz="4" w:space="0"/>
            </w:tcBorders>
            <w:noWrap/>
            <w:vAlign w:val="center"/>
          </w:tcPr>
          <w:p w14:paraId="049451ED">
            <w:pPr>
              <w:keepNext w:val="0"/>
              <w:keepLines w:val="0"/>
              <w:pageBreakBefore w:val="0"/>
              <w:kinsoku/>
              <w:wordWrap/>
              <w:overflowPunct/>
              <w:topLinePunct w:val="0"/>
              <w:autoSpaceDE/>
              <w:autoSpaceDN/>
              <w:bidi w:val="0"/>
              <w:adjustRightInd/>
              <w:snapToGrid/>
              <w:spacing w:line="360" w:lineRule="auto"/>
              <w:jc w:val="center"/>
              <w:rPr>
                <w:rFonts w:hint="eastAsia" w:ascii="黑体" w:hAnsi="黑体" w:eastAsia="黑体" w:cs="黑体"/>
                <w:b/>
                <w:bCs/>
                <w:i w:val="0"/>
                <w:iCs w:val="0"/>
                <w:color w:val="000000"/>
                <w:sz w:val="18"/>
                <w:szCs w:val="18"/>
                <w:highlight w:val="none"/>
                <w:u w:val="none"/>
              </w:rPr>
            </w:pPr>
          </w:p>
        </w:tc>
        <w:tc>
          <w:tcPr>
            <w:tcW w:w="283" w:type="pct"/>
            <w:vMerge w:val="restart"/>
            <w:tcBorders>
              <w:top w:val="single" w:color="000000" w:sz="4" w:space="0"/>
              <w:left w:val="single" w:color="000000" w:sz="4" w:space="0"/>
              <w:bottom w:val="single" w:color="000000" w:sz="4" w:space="0"/>
              <w:right w:val="single" w:color="000000" w:sz="4" w:space="0"/>
            </w:tcBorders>
            <w:noWrap/>
            <w:vAlign w:val="center"/>
          </w:tcPr>
          <w:p w14:paraId="498BFE84">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刀柄</w:t>
            </w:r>
          </w:p>
        </w:tc>
        <w:tc>
          <w:tcPr>
            <w:tcW w:w="3850" w:type="pct"/>
            <w:tcBorders>
              <w:top w:val="single" w:color="000000" w:sz="4" w:space="0"/>
              <w:left w:val="single" w:color="000000" w:sz="4" w:space="0"/>
              <w:bottom w:val="single" w:color="000000" w:sz="4" w:space="0"/>
              <w:right w:val="single" w:color="000000" w:sz="4" w:space="0"/>
            </w:tcBorders>
            <w:noWrap w:val="0"/>
            <w:vAlign w:val="center"/>
          </w:tcPr>
          <w:p w14:paraId="34650914">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1.总长140mm，4#，可安装20-39#手术刀片。</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2.采用医用不锈钢材料制造，该材料化学成分符合YY/T 0294.1-2016《外科器械金属材料第1部分：不锈钢》。</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3.器械外表面亮光，不得有锋棱、毛刺及明显的碰伤和划痕，其表面粗糙度不大于0.4μm。</w:t>
            </w:r>
          </w:p>
        </w:tc>
        <w:tc>
          <w:tcPr>
            <w:tcW w:w="200" w:type="pct"/>
            <w:tcBorders>
              <w:top w:val="single" w:color="000000" w:sz="4" w:space="0"/>
              <w:left w:val="single" w:color="000000" w:sz="4" w:space="0"/>
              <w:bottom w:val="single" w:color="000000" w:sz="4" w:space="0"/>
              <w:right w:val="single" w:color="000000" w:sz="4" w:space="0"/>
            </w:tcBorders>
            <w:noWrap w:val="0"/>
            <w:vAlign w:val="center"/>
          </w:tcPr>
          <w:p w14:paraId="7AF443B0">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100</w:t>
            </w:r>
          </w:p>
        </w:tc>
        <w:tc>
          <w:tcPr>
            <w:tcW w:w="266" w:type="pct"/>
            <w:tcBorders>
              <w:top w:val="single" w:color="000000" w:sz="4" w:space="0"/>
              <w:left w:val="single" w:color="000000" w:sz="4" w:space="0"/>
              <w:bottom w:val="single" w:color="000000" w:sz="4" w:space="0"/>
              <w:right w:val="single" w:color="000000" w:sz="4" w:space="0"/>
            </w:tcBorders>
            <w:noWrap w:val="0"/>
            <w:vAlign w:val="center"/>
          </w:tcPr>
          <w:p w14:paraId="4BC8B71B">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把</w:t>
            </w:r>
          </w:p>
        </w:tc>
      </w:tr>
      <w:tr w14:paraId="2D847D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98" w:hRule="atLeast"/>
        </w:trPr>
        <w:tc>
          <w:tcPr>
            <w:tcW w:w="400" w:type="pct"/>
            <w:vMerge w:val="continue"/>
            <w:tcBorders>
              <w:top w:val="single" w:color="000000" w:sz="4" w:space="0"/>
              <w:left w:val="single" w:color="000000" w:sz="4" w:space="0"/>
              <w:bottom w:val="single" w:color="000000" w:sz="4" w:space="0"/>
              <w:right w:val="single" w:color="000000" w:sz="4" w:space="0"/>
            </w:tcBorders>
            <w:noWrap/>
            <w:vAlign w:val="center"/>
          </w:tcPr>
          <w:p w14:paraId="4AF452AC">
            <w:pPr>
              <w:keepNext w:val="0"/>
              <w:keepLines w:val="0"/>
              <w:pageBreakBefore w:val="0"/>
              <w:kinsoku/>
              <w:wordWrap/>
              <w:overflowPunct/>
              <w:topLinePunct w:val="0"/>
              <w:autoSpaceDE/>
              <w:autoSpaceDN/>
              <w:bidi w:val="0"/>
              <w:adjustRightInd/>
              <w:snapToGrid/>
              <w:spacing w:line="360" w:lineRule="auto"/>
              <w:jc w:val="center"/>
              <w:rPr>
                <w:rFonts w:hint="eastAsia" w:ascii="黑体" w:hAnsi="黑体" w:eastAsia="黑体" w:cs="黑体"/>
                <w:b/>
                <w:bCs/>
                <w:i w:val="0"/>
                <w:iCs w:val="0"/>
                <w:color w:val="000000"/>
                <w:sz w:val="18"/>
                <w:szCs w:val="18"/>
                <w:highlight w:val="none"/>
                <w:u w:val="none"/>
              </w:rPr>
            </w:pPr>
          </w:p>
        </w:tc>
        <w:tc>
          <w:tcPr>
            <w:tcW w:w="283" w:type="pct"/>
            <w:vMerge w:val="continue"/>
            <w:tcBorders>
              <w:top w:val="single" w:color="000000" w:sz="4" w:space="0"/>
              <w:left w:val="single" w:color="000000" w:sz="4" w:space="0"/>
              <w:bottom w:val="single" w:color="000000" w:sz="4" w:space="0"/>
              <w:right w:val="single" w:color="000000" w:sz="4" w:space="0"/>
            </w:tcBorders>
            <w:noWrap/>
            <w:vAlign w:val="center"/>
          </w:tcPr>
          <w:p w14:paraId="228EE9C8">
            <w:pPr>
              <w:keepNext w:val="0"/>
              <w:keepLines w:val="0"/>
              <w:pageBreakBefore w:val="0"/>
              <w:kinsoku/>
              <w:wordWrap/>
              <w:overflowPunct/>
              <w:topLinePunct w:val="0"/>
              <w:autoSpaceDE/>
              <w:autoSpaceDN/>
              <w:bidi w:val="0"/>
              <w:adjustRightInd/>
              <w:snapToGrid/>
              <w:spacing w:line="360" w:lineRule="auto"/>
              <w:jc w:val="center"/>
              <w:rPr>
                <w:rFonts w:hint="eastAsia" w:ascii="黑体" w:hAnsi="黑体" w:eastAsia="黑体" w:cs="黑体"/>
                <w:i w:val="0"/>
                <w:iCs w:val="0"/>
                <w:color w:val="000000"/>
                <w:sz w:val="18"/>
                <w:szCs w:val="18"/>
                <w:highlight w:val="none"/>
                <w:u w:val="none"/>
              </w:rPr>
            </w:pPr>
          </w:p>
        </w:tc>
        <w:tc>
          <w:tcPr>
            <w:tcW w:w="3850" w:type="pct"/>
            <w:tcBorders>
              <w:top w:val="single" w:color="000000" w:sz="4" w:space="0"/>
              <w:left w:val="single" w:color="000000" w:sz="4" w:space="0"/>
              <w:bottom w:val="single" w:color="000000" w:sz="4" w:space="0"/>
              <w:right w:val="single" w:color="000000" w:sz="4" w:space="0"/>
            </w:tcBorders>
            <w:noWrap w:val="0"/>
            <w:vAlign w:val="center"/>
          </w:tcPr>
          <w:p w14:paraId="1DD8530A">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1.总长125mm，3#。</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2.与患者接触部分采用医用不锈钢制造，该材料化学成分符合YY/T 0294.1-2016《外科器械金属材料第1部分：不锈钢》，应经热处理，其硬度为35-46HRC。</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3.器械外表面电镀处理，不得有锋棱、毛刺及明显的碰伤和划痕，其表面粗糙度不大于0.4μm。</w:t>
            </w:r>
          </w:p>
        </w:tc>
        <w:tc>
          <w:tcPr>
            <w:tcW w:w="200" w:type="pct"/>
            <w:tcBorders>
              <w:top w:val="single" w:color="000000" w:sz="4" w:space="0"/>
              <w:left w:val="single" w:color="000000" w:sz="4" w:space="0"/>
              <w:bottom w:val="single" w:color="000000" w:sz="4" w:space="0"/>
              <w:right w:val="single" w:color="000000" w:sz="4" w:space="0"/>
            </w:tcBorders>
            <w:noWrap w:val="0"/>
            <w:vAlign w:val="center"/>
          </w:tcPr>
          <w:p w14:paraId="50556DD3">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30</w:t>
            </w:r>
          </w:p>
        </w:tc>
        <w:tc>
          <w:tcPr>
            <w:tcW w:w="266" w:type="pct"/>
            <w:tcBorders>
              <w:top w:val="single" w:color="000000" w:sz="4" w:space="0"/>
              <w:left w:val="single" w:color="000000" w:sz="4" w:space="0"/>
              <w:bottom w:val="single" w:color="000000" w:sz="4" w:space="0"/>
              <w:right w:val="single" w:color="000000" w:sz="4" w:space="0"/>
            </w:tcBorders>
            <w:noWrap w:val="0"/>
            <w:vAlign w:val="center"/>
          </w:tcPr>
          <w:p w14:paraId="43735A8C">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把</w:t>
            </w:r>
          </w:p>
        </w:tc>
      </w:tr>
      <w:tr w14:paraId="714E78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98" w:hRule="atLeast"/>
        </w:trPr>
        <w:tc>
          <w:tcPr>
            <w:tcW w:w="400" w:type="pct"/>
            <w:vMerge w:val="continue"/>
            <w:tcBorders>
              <w:top w:val="single" w:color="000000" w:sz="4" w:space="0"/>
              <w:left w:val="single" w:color="000000" w:sz="4" w:space="0"/>
              <w:bottom w:val="single" w:color="000000" w:sz="4" w:space="0"/>
              <w:right w:val="single" w:color="000000" w:sz="4" w:space="0"/>
            </w:tcBorders>
            <w:noWrap/>
            <w:vAlign w:val="center"/>
          </w:tcPr>
          <w:p w14:paraId="79AC8E13">
            <w:pPr>
              <w:keepNext w:val="0"/>
              <w:keepLines w:val="0"/>
              <w:pageBreakBefore w:val="0"/>
              <w:kinsoku/>
              <w:wordWrap/>
              <w:overflowPunct/>
              <w:topLinePunct w:val="0"/>
              <w:autoSpaceDE/>
              <w:autoSpaceDN/>
              <w:bidi w:val="0"/>
              <w:adjustRightInd/>
              <w:snapToGrid/>
              <w:spacing w:line="360" w:lineRule="auto"/>
              <w:jc w:val="center"/>
              <w:rPr>
                <w:rFonts w:hint="eastAsia" w:ascii="黑体" w:hAnsi="黑体" w:eastAsia="黑体" w:cs="黑体"/>
                <w:b/>
                <w:bCs/>
                <w:i w:val="0"/>
                <w:iCs w:val="0"/>
                <w:color w:val="000000"/>
                <w:sz w:val="18"/>
                <w:szCs w:val="18"/>
                <w:highlight w:val="none"/>
                <w:u w:val="none"/>
              </w:rPr>
            </w:pPr>
          </w:p>
        </w:tc>
        <w:tc>
          <w:tcPr>
            <w:tcW w:w="283" w:type="pct"/>
            <w:vMerge w:val="continue"/>
            <w:tcBorders>
              <w:top w:val="single" w:color="000000" w:sz="4" w:space="0"/>
              <w:left w:val="single" w:color="000000" w:sz="4" w:space="0"/>
              <w:bottom w:val="single" w:color="000000" w:sz="4" w:space="0"/>
              <w:right w:val="single" w:color="000000" w:sz="4" w:space="0"/>
            </w:tcBorders>
            <w:noWrap/>
            <w:vAlign w:val="center"/>
          </w:tcPr>
          <w:p w14:paraId="33E96EFA">
            <w:pPr>
              <w:keepNext w:val="0"/>
              <w:keepLines w:val="0"/>
              <w:pageBreakBefore w:val="0"/>
              <w:kinsoku/>
              <w:wordWrap/>
              <w:overflowPunct/>
              <w:topLinePunct w:val="0"/>
              <w:autoSpaceDE/>
              <w:autoSpaceDN/>
              <w:bidi w:val="0"/>
              <w:adjustRightInd/>
              <w:snapToGrid/>
              <w:spacing w:line="360" w:lineRule="auto"/>
              <w:jc w:val="center"/>
              <w:rPr>
                <w:rFonts w:hint="eastAsia" w:ascii="黑体" w:hAnsi="黑体" w:eastAsia="黑体" w:cs="黑体"/>
                <w:i w:val="0"/>
                <w:iCs w:val="0"/>
                <w:color w:val="000000"/>
                <w:sz w:val="18"/>
                <w:szCs w:val="18"/>
                <w:highlight w:val="none"/>
                <w:u w:val="none"/>
              </w:rPr>
            </w:pPr>
          </w:p>
        </w:tc>
        <w:tc>
          <w:tcPr>
            <w:tcW w:w="3850" w:type="pct"/>
            <w:tcBorders>
              <w:top w:val="single" w:color="000000" w:sz="4" w:space="0"/>
              <w:left w:val="single" w:color="000000" w:sz="4" w:space="0"/>
              <w:bottom w:val="single" w:color="000000" w:sz="4" w:space="0"/>
              <w:right w:val="single" w:color="000000" w:sz="4" w:space="0"/>
            </w:tcBorders>
            <w:noWrap w:val="0"/>
            <w:vAlign w:val="center"/>
          </w:tcPr>
          <w:p w14:paraId="134352E7">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1.总长160mm，7#，可安装9-17#手术刀片。</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2.采用医用不锈钢材料制造，该材料化学成分符合YY/T 0294.1-2016《外科器械金属材料第1部分：不锈钢》。</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3.器械外表面亮光，不得有锋棱、毛刺及明显的碰伤和划痕，其表面粗糙度不大于0.8μm。</w:t>
            </w:r>
          </w:p>
        </w:tc>
        <w:tc>
          <w:tcPr>
            <w:tcW w:w="200" w:type="pct"/>
            <w:tcBorders>
              <w:top w:val="single" w:color="000000" w:sz="4" w:space="0"/>
              <w:left w:val="single" w:color="000000" w:sz="4" w:space="0"/>
              <w:bottom w:val="single" w:color="000000" w:sz="4" w:space="0"/>
              <w:right w:val="single" w:color="000000" w:sz="4" w:space="0"/>
            </w:tcBorders>
            <w:noWrap w:val="0"/>
            <w:vAlign w:val="center"/>
          </w:tcPr>
          <w:p w14:paraId="012764BA">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20</w:t>
            </w:r>
          </w:p>
        </w:tc>
        <w:tc>
          <w:tcPr>
            <w:tcW w:w="266" w:type="pct"/>
            <w:tcBorders>
              <w:top w:val="single" w:color="000000" w:sz="4" w:space="0"/>
              <w:left w:val="single" w:color="000000" w:sz="4" w:space="0"/>
              <w:bottom w:val="single" w:color="000000" w:sz="4" w:space="0"/>
              <w:right w:val="single" w:color="000000" w:sz="4" w:space="0"/>
            </w:tcBorders>
            <w:noWrap w:val="0"/>
            <w:vAlign w:val="center"/>
          </w:tcPr>
          <w:p w14:paraId="3D43F7AC">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把</w:t>
            </w:r>
          </w:p>
        </w:tc>
      </w:tr>
      <w:tr w14:paraId="220F58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98" w:hRule="atLeast"/>
        </w:trPr>
        <w:tc>
          <w:tcPr>
            <w:tcW w:w="400" w:type="pct"/>
            <w:vMerge w:val="continue"/>
            <w:tcBorders>
              <w:top w:val="single" w:color="000000" w:sz="4" w:space="0"/>
              <w:left w:val="single" w:color="000000" w:sz="4" w:space="0"/>
              <w:bottom w:val="single" w:color="000000" w:sz="4" w:space="0"/>
              <w:right w:val="single" w:color="000000" w:sz="4" w:space="0"/>
            </w:tcBorders>
            <w:noWrap/>
            <w:vAlign w:val="center"/>
          </w:tcPr>
          <w:p w14:paraId="3F80F15E">
            <w:pPr>
              <w:keepNext w:val="0"/>
              <w:keepLines w:val="0"/>
              <w:pageBreakBefore w:val="0"/>
              <w:kinsoku/>
              <w:wordWrap/>
              <w:overflowPunct/>
              <w:topLinePunct w:val="0"/>
              <w:autoSpaceDE/>
              <w:autoSpaceDN/>
              <w:bidi w:val="0"/>
              <w:adjustRightInd/>
              <w:snapToGrid/>
              <w:spacing w:line="360" w:lineRule="auto"/>
              <w:jc w:val="center"/>
              <w:rPr>
                <w:rFonts w:hint="eastAsia" w:ascii="黑体" w:hAnsi="黑体" w:eastAsia="黑体" w:cs="黑体"/>
                <w:b/>
                <w:bCs/>
                <w:i w:val="0"/>
                <w:iCs w:val="0"/>
                <w:color w:val="000000"/>
                <w:sz w:val="18"/>
                <w:szCs w:val="18"/>
                <w:highlight w:val="none"/>
                <w:u w:val="none"/>
              </w:rPr>
            </w:pPr>
          </w:p>
        </w:tc>
        <w:tc>
          <w:tcPr>
            <w:tcW w:w="283" w:type="pct"/>
            <w:tcBorders>
              <w:top w:val="single" w:color="000000" w:sz="4" w:space="0"/>
              <w:left w:val="single" w:color="000000" w:sz="4" w:space="0"/>
              <w:bottom w:val="single" w:color="000000" w:sz="4" w:space="0"/>
              <w:right w:val="single" w:color="000000" w:sz="4" w:space="0"/>
            </w:tcBorders>
            <w:noWrap/>
            <w:vAlign w:val="center"/>
          </w:tcPr>
          <w:p w14:paraId="42C449A1">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组织钳</w:t>
            </w:r>
          </w:p>
        </w:tc>
        <w:tc>
          <w:tcPr>
            <w:tcW w:w="3850" w:type="pct"/>
            <w:tcBorders>
              <w:top w:val="single" w:color="000000" w:sz="4" w:space="0"/>
              <w:left w:val="single" w:color="000000" w:sz="4" w:space="0"/>
              <w:bottom w:val="single" w:color="000000" w:sz="4" w:space="0"/>
              <w:right w:val="single" w:color="000000" w:sz="4" w:space="0"/>
            </w:tcBorders>
            <w:noWrap w:val="0"/>
            <w:vAlign w:val="center"/>
          </w:tcPr>
          <w:p w14:paraId="0BFD8027">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1.总长180mm，直型。</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2.与患者接触部分采用医用不锈钢制造，该材料化学成分符合YY/T 0294.1-2016《外科器械金属材料第1部分：不锈钢》，应经热处理，硬度为40-48HRC。</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3.器械外表面电镀，不得有锋棱、毛刺及明显的碰伤和划痕，其表面粗糙度不大于0.4μm。</w:t>
            </w:r>
          </w:p>
        </w:tc>
        <w:tc>
          <w:tcPr>
            <w:tcW w:w="200" w:type="pct"/>
            <w:tcBorders>
              <w:top w:val="single" w:color="000000" w:sz="4" w:space="0"/>
              <w:left w:val="single" w:color="000000" w:sz="4" w:space="0"/>
              <w:bottom w:val="single" w:color="000000" w:sz="4" w:space="0"/>
              <w:right w:val="single" w:color="000000" w:sz="4" w:space="0"/>
            </w:tcBorders>
            <w:noWrap w:val="0"/>
            <w:vAlign w:val="center"/>
          </w:tcPr>
          <w:p w14:paraId="01ACF34F">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50</w:t>
            </w:r>
          </w:p>
        </w:tc>
        <w:tc>
          <w:tcPr>
            <w:tcW w:w="266" w:type="pct"/>
            <w:tcBorders>
              <w:top w:val="single" w:color="000000" w:sz="4" w:space="0"/>
              <w:left w:val="single" w:color="000000" w:sz="4" w:space="0"/>
              <w:bottom w:val="single" w:color="000000" w:sz="4" w:space="0"/>
              <w:right w:val="single" w:color="000000" w:sz="4" w:space="0"/>
            </w:tcBorders>
            <w:noWrap w:val="0"/>
            <w:vAlign w:val="center"/>
          </w:tcPr>
          <w:p w14:paraId="3BCFC9DB">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把</w:t>
            </w:r>
          </w:p>
        </w:tc>
      </w:tr>
      <w:tr w14:paraId="519B57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400" w:type="pct"/>
            <w:vMerge w:val="continue"/>
            <w:tcBorders>
              <w:top w:val="single" w:color="000000" w:sz="4" w:space="0"/>
              <w:left w:val="single" w:color="000000" w:sz="4" w:space="0"/>
              <w:bottom w:val="single" w:color="000000" w:sz="4" w:space="0"/>
              <w:right w:val="single" w:color="000000" w:sz="4" w:space="0"/>
            </w:tcBorders>
            <w:noWrap/>
            <w:vAlign w:val="center"/>
          </w:tcPr>
          <w:p w14:paraId="0500347F">
            <w:pPr>
              <w:keepNext w:val="0"/>
              <w:keepLines w:val="0"/>
              <w:pageBreakBefore w:val="0"/>
              <w:kinsoku/>
              <w:wordWrap/>
              <w:overflowPunct/>
              <w:topLinePunct w:val="0"/>
              <w:autoSpaceDE/>
              <w:autoSpaceDN/>
              <w:bidi w:val="0"/>
              <w:adjustRightInd/>
              <w:snapToGrid/>
              <w:spacing w:line="360" w:lineRule="auto"/>
              <w:jc w:val="center"/>
              <w:rPr>
                <w:rFonts w:hint="eastAsia" w:ascii="黑体" w:hAnsi="黑体" w:eastAsia="黑体" w:cs="黑体"/>
                <w:b/>
                <w:bCs/>
                <w:i w:val="0"/>
                <w:iCs w:val="0"/>
                <w:color w:val="000000"/>
                <w:sz w:val="18"/>
                <w:szCs w:val="18"/>
                <w:highlight w:val="none"/>
                <w:u w:val="none"/>
              </w:rPr>
            </w:pPr>
          </w:p>
        </w:tc>
        <w:tc>
          <w:tcPr>
            <w:tcW w:w="283" w:type="pct"/>
            <w:vMerge w:val="restart"/>
            <w:tcBorders>
              <w:top w:val="single" w:color="000000" w:sz="4" w:space="0"/>
              <w:left w:val="single" w:color="000000" w:sz="4" w:space="0"/>
              <w:bottom w:val="single" w:color="000000" w:sz="4" w:space="0"/>
              <w:right w:val="single" w:color="000000" w:sz="4" w:space="0"/>
            </w:tcBorders>
            <w:noWrap/>
            <w:vAlign w:val="center"/>
          </w:tcPr>
          <w:p w14:paraId="76F36E2D">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弯钳</w:t>
            </w:r>
          </w:p>
        </w:tc>
        <w:tc>
          <w:tcPr>
            <w:tcW w:w="3850" w:type="pct"/>
            <w:tcBorders>
              <w:top w:val="single" w:color="000000" w:sz="4" w:space="0"/>
              <w:left w:val="single" w:color="000000" w:sz="4" w:space="0"/>
              <w:bottom w:val="single" w:color="000000" w:sz="4" w:space="0"/>
              <w:right w:val="single" w:color="000000" w:sz="4" w:space="0"/>
            </w:tcBorders>
            <w:noWrap w:val="0"/>
            <w:vAlign w:val="center"/>
          </w:tcPr>
          <w:p w14:paraId="307D364D">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1.总长125mm，弯型，蚊式，弯头高度6mm，全齿，头宽1.8mm，头厚1.6mm。</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2.与患者接触部分采用医用不锈钢制造，该材料化学成分符合YY/T 0294.1-2016《外科器械金属材料第1部分：不锈钢》，应经热处理，硬度为40-48HRC。</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3.器械外表面刷光，不得有锋棱、毛刺及明显的碰伤和划痕，其表面粗糙度不大于0.8μm。</w:t>
            </w:r>
          </w:p>
        </w:tc>
        <w:tc>
          <w:tcPr>
            <w:tcW w:w="200" w:type="pct"/>
            <w:tcBorders>
              <w:top w:val="single" w:color="000000" w:sz="4" w:space="0"/>
              <w:left w:val="single" w:color="000000" w:sz="4" w:space="0"/>
              <w:bottom w:val="single" w:color="000000" w:sz="4" w:space="0"/>
              <w:right w:val="single" w:color="000000" w:sz="4" w:space="0"/>
            </w:tcBorders>
            <w:noWrap w:val="0"/>
            <w:vAlign w:val="center"/>
          </w:tcPr>
          <w:p w14:paraId="734B26FC">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25</w:t>
            </w:r>
          </w:p>
        </w:tc>
        <w:tc>
          <w:tcPr>
            <w:tcW w:w="266" w:type="pct"/>
            <w:tcBorders>
              <w:top w:val="single" w:color="000000" w:sz="4" w:space="0"/>
              <w:left w:val="single" w:color="000000" w:sz="4" w:space="0"/>
              <w:bottom w:val="single" w:color="000000" w:sz="4" w:space="0"/>
              <w:right w:val="single" w:color="000000" w:sz="4" w:space="0"/>
            </w:tcBorders>
            <w:noWrap w:val="0"/>
            <w:vAlign w:val="center"/>
          </w:tcPr>
          <w:p w14:paraId="654928D9">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把</w:t>
            </w:r>
          </w:p>
        </w:tc>
      </w:tr>
      <w:tr w14:paraId="680102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98" w:hRule="atLeast"/>
        </w:trPr>
        <w:tc>
          <w:tcPr>
            <w:tcW w:w="400" w:type="pct"/>
            <w:vMerge w:val="continue"/>
            <w:tcBorders>
              <w:top w:val="single" w:color="000000" w:sz="4" w:space="0"/>
              <w:left w:val="single" w:color="000000" w:sz="4" w:space="0"/>
              <w:bottom w:val="single" w:color="000000" w:sz="4" w:space="0"/>
              <w:right w:val="single" w:color="000000" w:sz="4" w:space="0"/>
            </w:tcBorders>
            <w:noWrap/>
            <w:vAlign w:val="center"/>
          </w:tcPr>
          <w:p w14:paraId="3EC8C456">
            <w:pPr>
              <w:keepNext w:val="0"/>
              <w:keepLines w:val="0"/>
              <w:pageBreakBefore w:val="0"/>
              <w:kinsoku/>
              <w:wordWrap/>
              <w:overflowPunct/>
              <w:topLinePunct w:val="0"/>
              <w:autoSpaceDE/>
              <w:autoSpaceDN/>
              <w:bidi w:val="0"/>
              <w:adjustRightInd/>
              <w:snapToGrid/>
              <w:spacing w:line="360" w:lineRule="auto"/>
              <w:jc w:val="center"/>
              <w:rPr>
                <w:rFonts w:hint="eastAsia" w:ascii="黑体" w:hAnsi="黑体" w:eastAsia="黑体" w:cs="黑体"/>
                <w:b/>
                <w:bCs/>
                <w:i w:val="0"/>
                <w:iCs w:val="0"/>
                <w:color w:val="000000"/>
                <w:sz w:val="18"/>
                <w:szCs w:val="18"/>
                <w:highlight w:val="none"/>
                <w:u w:val="none"/>
              </w:rPr>
            </w:pPr>
          </w:p>
        </w:tc>
        <w:tc>
          <w:tcPr>
            <w:tcW w:w="283" w:type="pct"/>
            <w:vMerge w:val="continue"/>
            <w:tcBorders>
              <w:top w:val="single" w:color="000000" w:sz="4" w:space="0"/>
              <w:left w:val="single" w:color="000000" w:sz="4" w:space="0"/>
              <w:bottom w:val="single" w:color="000000" w:sz="4" w:space="0"/>
              <w:right w:val="single" w:color="000000" w:sz="4" w:space="0"/>
            </w:tcBorders>
            <w:noWrap/>
            <w:vAlign w:val="center"/>
          </w:tcPr>
          <w:p w14:paraId="244DB06A">
            <w:pPr>
              <w:keepNext w:val="0"/>
              <w:keepLines w:val="0"/>
              <w:pageBreakBefore w:val="0"/>
              <w:kinsoku/>
              <w:wordWrap/>
              <w:overflowPunct/>
              <w:topLinePunct w:val="0"/>
              <w:autoSpaceDE/>
              <w:autoSpaceDN/>
              <w:bidi w:val="0"/>
              <w:adjustRightInd/>
              <w:snapToGrid/>
              <w:spacing w:line="360" w:lineRule="auto"/>
              <w:jc w:val="center"/>
              <w:rPr>
                <w:rFonts w:hint="eastAsia" w:ascii="黑体" w:hAnsi="黑体" w:eastAsia="黑体" w:cs="黑体"/>
                <w:i w:val="0"/>
                <w:iCs w:val="0"/>
                <w:color w:val="000000"/>
                <w:sz w:val="18"/>
                <w:szCs w:val="18"/>
                <w:highlight w:val="none"/>
                <w:u w:val="none"/>
              </w:rPr>
            </w:pPr>
          </w:p>
        </w:tc>
        <w:tc>
          <w:tcPr>
            <w:tcW w:w="3850" w:type="pct"/>
            <w:tcBorders>
              <w:top w:val="single" w:color="000000" w:sz="4" w:space="0"/>
              <w:left w:val="single" w:color="000000" w:sz="4" w:space="0"/>
              <w:bottom w:val="single" w:color="000000" w:sz="4" w:space="0"/>
              <w:right w:val="single" w:color="000000" w:sz="4" w:space="0"/>
            </w:tcBorders>
            <w:noWrap w:val="0"/>
            <w:vAlign w:val="center"/>
          </w:tcPr>
          <w:p w14:paraId="05ADE63C">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1.总长140mm，弯型，弯头高度8mm，全齿，头宽2.2mm，头厚2mm。</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2.与患者接触部分采用医用不锈钢制造，该材料化学成分符合YY/T 0294.1-2016《外科器械金属材料第1部分：不锈钢》，应经热处理，硬度为40-48HRC。</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3.器械外表面刷光，不得有锋棱、毛刺及明显的碰伤和划痕，其表面粗糙度不大于0.8μm。</w:t>
            </w:r>
          </w:p>
        </w:tc>
        <w:tc>
          <w:tcPr>
            <w:tcW w:w="200" w:type="pct"/>
            <w:tcBorders>
              <w:top w:val="single" w:color="000000" w:sz="4" w:space="0"/>
              <w:left w:val="single" w:color="000000" w:sz="4" w:space="0"/>
              <w:bottom w:val="single" w:color="000000" w:sz="4" w:space="0"/>
              <w:right w:val="single" w:color="000000" w:sz="4" w:space="0"/>
            </w:tcBorders>
            <w:noWrap w:val="0"/>
            <w:vAlign w:val="center"/>
          </w:tcPr>
          <w:p w14:paraId="15276FC2">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25</w:t>
            </w:r>
          </w:p>
        </w:tc>
        <w:tc>
          <w:tcPr>
            <w:tcW w:w="266" w:type="pct"/>
            <w:tcBorders>
              <w:top w:val="single" w:color="000000" w:sz="4" w:space="0"/>
              <w:left w:val="single" w:color="000000" w:sz="4" w:space="0"/>
              <w:bottom w:val="single" w:color="000000" w:sz="4" w:space="0"/>
              <w:right w:val="single" w:color="000000" w:sz="4" w:space="0"/>
            </w:tcBorders>
            <w:noWrap w:val="0"/>
            <w:vAlign w:val="center"/>
          </w:tcPr>
          <w:p w14:paraId="0EB44782">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把</w:t>
            </w:r>
          </w:p>
        </w:tc>
      </w:tr>
      <w:tr w14:paraId="201324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98" w:hRule="atLeast"/>
        </w:trPr>
        <w:tc>
          <w:tcPr>
            <w:tcW w:w="400" w:type="pct"/>
            <w:vMerge w:val="continue"/>
            <w:tcBorders>
              <w:top w:val="single" w:color="000000" w:sz="4" w:space="0"/>
              <w:left w:val="single" w:color="000000" w:sz="4" w:space="0"/>
              <w:bottom w:val="single" w:color="000000" w:sz="4" w:space="0"/>
              <w:right w:val="single" w:color="000000" w:sz="4" w:space="0"/>
            </w:tcBorders>
            <w:noWrap/>
            <w:vAlign w:val="center"/>
          </w:tcPr>
          <w:p w14:paraId="7B18522A">
            <w:pPr>
              <w:keepNext w:val="0"/>
              <w:keepLines w:val="0"/>
              <w:pageBreakBefore w:val="0"/>
              <w:kinsoku/>
              <w:wordWrap/>
              <w:overflowPunct/>
              <w:topLinePunct w:val="0"/>
              <w:autoSpaceDE/>
              <w:autoSpaceDN/>
              <w:bidi w:val="0"/>
              <w:adjustRightInd/>
              <w:snapToGrid/>
              <w:spacing w:line="360" w:lineRule="auto"/>
              <w:jc w:val="center"/>
              <w:rPr>
                <w:rFonts w:hint="eastAsia" w:ascii="黑体" w:hAnsi="黑体" w:eastAsia="黑体" w:cs="黑体"/>
                <w:b/>
                <w:bCs/>
                <w:i w:val="0"/>
                <w:iCs w:val="0"/>
                <w:color w:val="000000"/>
                <w:sz w:val="18"/>
                <w:szCs w:val="18"/>
                <w:highlight w:val="none"/>
                <w:u w:val="none"/>
              </w:rPr>
            </w:pPr>
          </w:p>
        </w:tc>
        <w:tc>
          <w:tcPr>
            <w:tcW w:w="283" w:type="pct"/>
            <w:vMerge w:val="continue"/>
            <w:tcBorders>
              <w:top w:val="single" w:color="000000" w:sz="4" w:space="0"/>
              <w:left w:val="single" w:color="000000" w:sz="4" w:space="0"/>
              <w:bottom w:val="single" w:color="000000" w:sz="4" w:space="0"/>
              <w:right w:val="single" w:color="000000" w:sz="4" w:space="0"/>
            </w:tcBorders>
            <w:noWrap/>
            <w:vAlign w:val="center"/>
          </w:tcPr>
          <w:p w14:paraId="2D1B116B">
            <w:pPr>
              <w:keepNext w:val="0"/>
              <w:keepLines w:val="0"/>
              <w:pageBreakBefore w:val="0"/>
              <w:kinsoku/>
              <w:wordWrap/>
              <w:overflowPunct/>
              <w:topLinePunct w:val="0"/>
              <w:autoSpaceDE/>
              <w:autoSpaceDN/>
              <w:bidi w:val="0"/>
              <w:adjustRightInd/>
              <w:snapToGrid/>
              <w:spacing w:line="360" w:lineRule="auto"/>
              <w:jc w:val="center"/>
              <w:rPr>
                <w:rFonts w:hint="eastAsia" w:ascii="黑体" w:hAnsi="黑体" w:eastAsia="黑体" w:cs="黑体"/>
                <w:i w:val="0"/>
                <w:iCs w:val="0"/>
                <w:color w:val="000000"/>
                <w:sz w:val="18"/>
                <w:szCs w:val="18"/>
                <w:highlight w:val="none"/>
                <w:u w:val="none"/>
              </w:rPr>
            </w:pPr>
          </w:p>
        </w:tc>
        <w:tc>
          <w:tcPr>
            <w:tcW w:w="3850" w:type="pct"/>
            <w:tcBorders>
              <w:top w:val="single" w:color="000000" w:sz="4" w:space="0"/>
              <w:left w:val="single" w:color="000000" w:sz="4" w:space="0"/>
              <w:bottom w:val="single" w:color="000000" w:sz="4" w:space="0"/>
              <w:right w:val="single" w:color="000000" w:sz="4" w:space="0"/>
            </w:tcBorders>
            <w:noWrap w:val="0"/>
            <w:vAlign w:val="center"/>
          </w:tcPr>
          <w:p w14:paraId="603189C1">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1.总长180mm，弯型，弯头高度12mm，全齿，头宽2.8mm，头厚2.2mm。</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2.与患者接触部分采用医用不锈钢制造，该材料化学成分符合YY/T 0294.1-2016《外科器械金属材料第1部分：不锈钢》，应经热处理，硬度为40-48HRC。</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3.器械外表面刷光，不得有锋棱、毛刺及明显的碰伤和划痕，其表面粗糙度不大于0.8μm。</w:t>
            </w:r>
          </w:p>
        </w:tc>
        <w:tc>
          <w:tcPr>
            <w:tcW w:w="200" w:type="pct"/>
            <w:tcBorders>
              <w:top w:val="single" w:color="000000" w:sz="4" w:space="0"/>
              <w:left w:val="single" w:color="000000" w:sz="4" w:space="0"/>
              <w:bottom w:val="single" w:color="000000" w:sz="4" w:space="0"/>
              <w:right w:val="single" w:color="000000" w:sz="4" w:space="0"/>
            </w:tcBorders>
            <w:noWrap w:val="0"/>
            <w:vAlign w:val="center"/>
          </w:tcPr>
          <w:p w14:paraId="7DDC73D6">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50</w:t>
            </w:r>
          </w:p>
        </w:tc>
        <w:tc>
          <w:tcPr>
            <w:tcW w:w="266" w:type="pct"/>
            <w:tcBorders>
              <w:top w:val="single" w:color="000000" w:sz="4" w:space="0"/>
              <w:left w:val="single" w:color="000000" w:sz="4" w:space="0"/>
              <w:bottom w:val="single" w:color="000000" w:sz="4" w:space="0"/>
              <w:right w:val="single" w:color="000000" w:sz="4" w:space="0"/>
            </w:tcBorders>
            <w:noWrap w:val="0"/>
            <w:vAlign w:val="center"/>
          </w:tcPr>
          <w:p w14:paraId="4946C380">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把</w:t>
            </w:r>
          </w:p>
        </w:tc>
      </w:tr>
      <w:tr w14:paraId="06695C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98" w:hRule="atLeast"/>
        </w:trPr>
        <w:tc>
          <w:tcPr>
            <w:tcW w:w="400" w:type="pct"/>
            <w:vMerge w:val="continue"/>
            <w:tcBorders>
              <w:top w:val="single" w:color="000000" w:sz="4" w:space="0"/>
              <w:left w:val="single" w:color="000000" w:sz="4" w:space="0"/>
              <w:bottom w:val="single" w:color="000000" w:sz="4" w:space="0"/>
              <w:right w:val="single" w:color="000000" w:sz="4" w:space="0"/>
            </w:tcBorders>
            <w:noWrap/>
            <w:vAlign w:val="center"/>
          </w:tcPr>
          <w:p w14:paraId="635A1BE0">
            <w:pPr>
              <w:keepNext w:val="0"/>
              <w:keepLines w:val="0"/>
              <w:pageBreakBefore w:val="0"/>
              <w:kinsoku/>
              <w:wordWrap/>
              <w:overflowPunct/>
              <w:topLinePunct w:val="0"/>
              <w:autoSpaceDE/>
              <w:autoSpaceDN/>
              <w:bidi w:val="0"/>
              <w:adjustRightInd/>
              <w:snapToGrid/>
              <w:spacing w:line="360" w:lineRule="auto"/>
              <w:jc w:val="center"/>
              <w:rPr>
                <w:rFonts w:hint="eastAsia" w:ascii="黑体" w:hAnsi="黑体" w:eastAsia="黑体" w:cs="黑体"/>
                <w:b/>
                <w:bCs/>
                <w:i w:val="0"/>
                <w:iCs w:val="0"/>
                <w:color w:val="000000"/>
                <w:sz w:val="18"/>
                <w:szCs w:val="18"/>
                <w:highlight w:val="none"/>
                <w:u w:val="none"/>
              </w:rPr>
            </w:pPr>
          </w:p>
        </w:tc>
        <w:tc>
          <w:tcPr>
            <w:tcW w:w="283" w:type="pct"/>
            <w:vMerge w:val="continue"/>
            <w:tcBorders>
              <w:top w:val="single" w:color="000000" w:sz="4" w:space="0"/>
              <w:left w:val="single" w:color="000000" w:sz="4" w:space="0"/>
              <w:bottom w:val="single" w:color="000000" w:sz="4" w:space="0"/>
              <w:right w:val="single" w:color="000000" w:sz="4" w:space="0"/>
            </w:tcBorders>
            <w:noWrap/>
            <w:vAlign w:val="center"/>
          </w:tcPr>
          <w:p w14:paraId="14B82838">
            <w:pPr>
              <w:keepNext w:val="0"/>
              <w:keepLines w:val="0"/>
              <w:pageBreakBefore w:val="0"/>
              <w:kinsoku/>
              <w:wordWrap/>
              <w:overflowPunct/>
              <w:topLinePunct w:val="0"/>
              <w:autoSpaceDE/>
              <w:autoSpaceDN/>
              <w:bidi w:val="0"/>
              <w:adjustRightInd/>
              <w:snapToGrid/>
              <w:spacing w:line="360" w:lineRule="auto"/>
              <w:jc w:val="center"/>
              <w:rPr>
                <w:rFonts w:hint="eastAsia" w:ascii="黑体" w:hAnsi="黑体" w:eastAsia="黑体" w:cs="黑体"/>
                <w:i w:val="0"/>
                <w:iCs w:val="0"/>
                <w:color w:val="000000"/>
                <w:sz w:val="18"/>
                <w:szCs w:val="18"/>
                <w:highlight w:val="none"/>
                <w:u w:val="none"/>
              </w:rPr>
            </w:pPr>
          </w:p>
        </w:tc>
        <w:tc>
          <w:tcPr>
            <w:tcW w:w="3850" w:type="pct"/>
            <w:tcBorders>
              <w:top w:val="single" w:color="000000" w:sz="4" w:space="0"/>
              <w:left w:val="single" w:color="000000" w:sz="4" w:space="0"/>
              <w:bottom w:val="single" w:color="000000" w:sz="4" w:space="0"/>
              <w:right w:val="single" w:color="000000" w:sz="4" w:space="0"/>
            </w:tcBorders>
            <w:noWrap w:val="0"/>
            <w:vAlign w:val="center"/>
          </w:tcPr>
          <w:p w14:paraId="20D2D8BC">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1.总长200mm，弯型，弯头高度16mm，全齿，头宽3.2mm，头厚2.5mm。</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2.与患者接触部分采用医用不锈钢制造，该材料化学成分符合YY/T 0294.1-2016《外科器械金属材料第1部分：不锈钢》，应经热处理，硬度为40-48HRC。</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3.器械外表面刷光，不得有锋棱、毛刺及明显的碰伤和划痕，其表面粗糙度不大于0.8μm。</w:t>
            </w:r>
          </w:p>
        </w:tc>
        <w:tc>
          <w:tcPr>
            <w:tcW w:w="200" w:type="pct"/>
            <w:tcBorders>
              <w:top w:val="single" w:color="000000" w:sz="4" w:space="0"/>
              <w:left w:val="single" w:color="000000" w:sz="4" w:space="0"/>
              <w:bottom w:val="single" w:color="000000" w:sz="4" w:space="0"/>
              <w:right w:val="single" w:color="000000" w:sz="4" w:space="0"/>
            </w:tcBorders>
            <w:noWrap w:val="0"/>
            <w:vAlign w:val="center"/>
          </w:tcPr>
          <w:p w14:paraId="34974CD3">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50</w:t>
            </w:r>
          </w:p>
        </w:tc>
        <w:tc>
          <w:tcPr>
            <w:tcW w:w="266" w:type="pct"/>
            <w:tcBorders>
              <w:top w:val="single" w:color="000000" w:sz="4" w:space="0"/>
              <w:left w:val="single" w:color="000000" w:sz="4" w:space="0"/>
              <w:bottom w:val="single" w:color="000000" w:sz="4" w:space="0"/>
              <w:right w:val="single" w:color="000000" w:sz="4" w:space="0"/>
            </w:tcBorders>
            <w:noWrap w:val="0"/>
            <w:vAlign w:val="center"/>
          </w:tcPr>
          <w:p w14:paraId="793E31C7">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把</w:t>
            </w:r>
          </w:p>
        </w:tc>
      </w:tr>
      <w:tr w14:paraId="444582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98" w:hRule="atLeast"/>
        </w:trPr>
        <w:tc>
          <w:tcPr>
            <w:tcW w:w="400" w:type="pct"/>
            <w:vMerge w:val="continue"/>
            <w:tcBorders>
              <w:top w:val="single" w:color="000000" w:sz="4" w:space="0"/>
              <w:left w:val="single" w:color="000000" w:sz="4" w:space="0"/>
              <w:bottom w:val="single" w:color="000000" w:sz="4" w:space="0"/>
              <w:right w:val="single" w:color="000000" w:sz="4" w:space="0"/>
            </w:tcBorders>
            <w:noWrap/>
            <w:vAlign w:val="center"/>
          </w:tcPr>
          <w:p w14:paraId="4AECDB5C">
            <w:pPr>
              <w:keepNext w:val="0"/>
              <w:keepLines w:val="0"/>
              <w:pageBreakBefore w:val="0"/>
              <w:kinsoku/>
              <w:wordWrap/>
              <w:overflowPunct/>
              <w:topLinePunct w:val="0"/>
              <w:autoSpaceDE/>
              <w:autoSpaceDN/>
              <w:bidi w:val="0"/>
              <w:adjustRightInd/>
              <w:snapToGrid/>
              <w:spacing w:line="360" w:lineRule="auto"/>
              <w:jc w:val="center"/>
              <w:rPr>
                <w:rFonts w:hint="eastAsia" w:ascii="黑体" w:hAnsi="黑体" w:eastAsia="黑体" w:cs="黑体"/>
                <w:b/>
                <w:bCs/>
                <w:i w:val="0"/>
                <w:iCs w:val="0"/>
                <w:color w:val="000000"/>
                <w:sz w:val="18"/>
                <w:szCs w:val="18"/>
                <w:highlight w:val="none"/>
                <w:u w:val="none"/>
              </w:rPr>
            </w:pPr>
          </w:p>
        </w:tc>
        <w:tc>
          <w:tcPr>
            <w:tcW w:w="283" w:type="pct"/>
            <w:tcBorders>
              <w:top w:val="single" w:color="000000" w:sz="4" w:space="0"/>
              <w:left w:val="single" w:color="000000" w:sz="4" w:space="0"/>
              <w:bottom w:val="single" w:color="000000" w:sz="4" w:space="0"/>
              <w:right w:val="single" w:color="000000" w:sz="4" w:space="0"/>
            </w:tcBorders>
            <w:noWrap/>
            <w:vAlign w:val="center"/>
          </w:tcPr>
          <w:p w14:paraId="6E1FD618">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持针钳</w:t>
            </w:r>
          </w:p>
        </w:tc>
        <w:tc>
          <w:tcPr>
            <w:tcW w:w="3850" w:type="pct"/>
            <w:tcBorders>
              <w:top w:val="single" w:color="000000" w:sz="4" w:space="0"/>
              <w:left w:val="single" w:color="000000" w:sz="4" w:space="0"/>
              <w:bottom w:val="single" w:color="000000" w:sz="4" w:space="0"/>
              <w:right w:val="single" w:color="000000" w:sz="4" w:space="0"/>
            </w:tcBorders>
            <w:noWrap w:val="0"/>
            <w:vAlign w:val="center"/>
          </w:tcPr>
          <w:p w14:paraId="517A8DB1">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1.总长180mm，直头，粗针，网纹齿，齿距0.6。</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2.与患者接触部分采用医用不锈钢制造，该材料化学成分符合YY/T 0294.1-2016《外科器械金属材料第1部分：不锈钢》，应经热处理，硬度为40-48HRC。</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3.器械外表面刷光，不得有锋棱、毛刺及明显的碰伤和划痕，其表面粗糙度不大于0.8μm。</w:t>
            </w:r>
          </w:p>
        </w:tc>
        <w:tc>
          <w:tcPr>
            <w:tcW w:w="200" w:type="pct"/>
            <w:tcBorders>
              <w:top w:val="single" w:color="000000" w:sz="4" w:space="0"/>
              <w:left w:val="single" w:color="000000" w:sz="4" w:space="0"/>
              <w:bottom w:val="single" w:color="000000" w:sz="4" w:space="0"/>
              <w:right w:val="single" w:color="000000" w:sz="4" w:space="0"/>
            </w:tcBorders>
            <w:noWrap w:val="0"/>
            <w:vAlign w:val="center"/>
          </w:tcPr>
          <w:p w14:paraId="17B3D5FC">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100</w:t>
            </w:r>
          </w:p>
        </w:tc>
        <w:tc>
          <w:tcPr>
            <w:tcW w:w="266" w:type="pct"/>
            <w:tcBorders>
              <w:top w:val="single" w:color="000000" w:sz="4" w:space="0"/>
              <w:left w:val="single" w:color="000000" w:sz="4" w:space="0"/>
              <w:bottom w:val="single" w:color="000000" w:sz="4" w:space="0"/>
              <w:right w:val="single" w:color="000000" w:sz="4" w:space="0"/>
            </w:tcBorders>
            <w:noWrap w:val="0"/>
            <w:vAlign w:val="center"/>
          </w:tcPr>
          <w:p w14:paraId="4801DC59">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把</w:t>
            </w:r>
          </w:p>
        </w:tc>
      </w:tr>
      <w:tr w14:paraId="5BD88D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98" w:hRule="atLeast"/>
        </w:trPr>
        <w:tc>
          <w:tcPr>
            <w:tcW w:w="400" w:type="pct"/>
            <w:vMerge w:val="continue"/>
            <w:tcBorders>
              <w:top w:val="single" w:color="000000" w:sz="4" w:space="0"/>
              <w:left w:val="single" w:color="000000" w:sz="4" w:space="0"/>
              <w:bottom w:val="single" w:color="000000" w:sz="4" w:space="0"/>
              <w:right w:val="single" w:color="000000" w:sz="4" w:space="0"/>
            </w:tcBorders>
            <w:noWrap/>
            <w:vAlign w:val="center"/>
          </w:tcPr>
          <w:p w14:paraId="7F5CA588">
            <w:pPr>
              <w:keepNext w:val="0"/>
              <w:keepLines w:val="0"/>
              <w:pageBreakBefore w:val="0"/>
              <w:kinsoku/>
              <w:wordWrap/>
              <w:overflowPunct/>
              <w:topLinePunct w:val="0"/>
              <w:autoSpaceDE/>
              <w:autoSpaceDN/>
              <w:bidi w:val="0"/>
              <w:adjustRightInd/>
              <w:snapToGrid/>
              <w:spacing w:line="360" w:lineRule="auto"/>
              <w:jc w:val="center"/>
              <w:rPr>
                <w:rFonts w:hint="eastAsia" w:ascii="黑体" w:hAnsi="黑体" w:eastAsia="黑体" w:cs="黑体"/>
                <w:b/>
                <w:bCs/>
                <w:i w:val="0"/>
                <w:iCs w:val="0"/>
                <w:color w:val="000000"/>
                <w:sz w:val="18"/>
                <w:szCs w:val="18"/>
                <w:highlight w:val="none"/>
                <w:u w:val="none"/>
              </w:rPr>
            </w:pPr>
          </w:p>
        </w:tc>
        <w:tc>
          <w:tcPr>
            <w:tcW w:w="283" w:type="pct"/>
            <w:vMerge w:val="restart"/>
            <w:tcBorders>
              <w:top w:val="single" w:color="000000" w:sz="4" w:space="0"/>
              <w:left w:val="single" w:color="000000" w:sz="4" w:space="0"/>
              <w:bottom w:val="single" w:color="000000" w:sz="4" w:space="0"/>
              <w:right w:val="single" w:color="000000" w:sz="4" w:space="0"/>
            </w:tcBorders>
            <w:noWrap/>
            <w:vAlign w:val="center"/>
          </w:tcPr>
          <w:p w14:paraId="77330DA1">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直钳</w:t>
            </w:r>
          </w:p>
        </w:tc>
        <w:tc>
          <w:tcPr>
            <w:tcW w:w="3850" w:type="pct"/>
            <w:tcBorders>
              <w:top w:val="single" w:color="000000" w:sz="4" w:space="0"/>
              <w:left w:val="single" w:color="000000" w:sz="4" w:space="0"/>
              <w:bottom w:val="single" w:color="000000" w:sz="4" w:space="0"/>
              <w:right w:val="single" w:color="000000" w:sz="4" w:space="0"/>
            </w:tcBorders>
            <w:noWrap w:val="0"/>
            <w:vAlign w:val="center"/>
          </w:tcPr>
          <w:p w14:paraId="371E03B8">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1.总长125mm，直型，蚊式，全齿，头宽1.8mm，头厚1.6mm。</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2.与患者接触部分采用医用不锈钢制造，该材料化学成分符合YY/T 0294.1-2016《外科器械金属材料第1部分：不锈钢》，应经热处理，硬度为40-48HRC。</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3.器械外表面刷光，不得有锋棱、毛刺及明显的碰伤和划痕，其表面粗糙度不大于0.8μm。</w:t>
            </w:r>
          </w:p>
        </w:tc>
        <w:tc>
          <w:tcPr>
            <w:tcW w:w="200" w:type="pct"/>
            <w:tcBorders>
              <w:top w:val="single" w:color="000000" w:sz="4" w:space="0"/>
              <w:left w:val="single" w:color="000000" w:sz="4" w:space="0"/>
              <w:bottom w:val="single" w:color="000000" w:sz="4" w:space="0"/>
              <w:right w:val="single" w:color="000000" w:sz="4" w:space="0"/>
            </w:tcBorders>
            <w:noWrap w:val="0"/>
            <w:vAlign w:val="center"/>
          </w:tcPr>
          <w:p w14:paraId="554FC0E3">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30</w:t>
            </w:r>
          </w:p>
        </w:tc>
        <w:tc>
          <w:tcPr>
            <w:tcW w:w="266" w:type="pct"/>
            <w:tcBorders>
              <w:top w:val="single" w:color="000000" w:sz="4" w:space="0"/>
              <w:left w:val="single" w:color="000000" w:sz="4" w:space="0"/>
              <w:bottom w:val="single" w:color="000000" w:sz="4" w:space="0"/>
              <w:right w:val="single" w:color="000000" w:sz="4" w:space="0"/>
            </w:tcBorders>
            <w:noWrap w:val="0"/>
            <w:vAlign w:val="center"/>
          </w:tcPr>
          <w:p w14:paraId="3D0AA775">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把</w:t>
            </w:r>
          </w:p>
        </w:tc>
      </w:tr>
      <w:tr w14:paraId="14CFF4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2" w:hRule="atLeast"/>
        </w:trPr>
        <w:tc>
          <w:tcPr>
            <w:tcW w:w="400" w:type="pct"/>
            <w:vMerge w:val="continue"/>
            <w:tcBorders>
              <w:top w:val="single" w:color="000000" w:sz="4" w:space="0"/>
              <w:left w:val="single" w:color="000000" w:sz="4" w:space="0"/>
              <w:bottom w:val="single" w:color="000000" w:sz="4" w:space="0"/>
              <w:right w:val="single" w:color="000000" w:sz="4" w:space="0"/>
            </w:tcBorders>
            <w:noWrap/>
            <w:vAlign w:val="center"/>
          </w:tcPr>
          <w:p w14:paraId="6064F54B">
            <w:pPr>
              <w:keepNext w:val="0"/>
              <w:keepLines w:val="0"/>
              <w:pageBreakBefore w:val="0"/>
              <w:kinsoku/>
              <w:wordWrap/>
              <w:overflowPunct/>
              <w:topLinePunct w:val="0"/>
              <w:autoSpaceDE/>
              <w:autoSpaceDN/>
              <w:bidi w:val="0"/>
              <w:adjustRightInd/>
              <w:snapToGrid/>
              <w:spacing w:line="360" w:lineRule="auto"/>
              <w:jc w:val="center"/>
              <w:rPr>
                <w:rFonts w:hint="eastAsia" w:ascii="黑体" w:hAnsi="黑体" w:eastAsia="黑体" w:cs="黑体"/>
                <w:b/>
                <w:bCs/>
                <w:i w:val="0"/>
                <w:iCs w:val="0"/>
                <w:color w:val="000000"/>
                <w:sz w:val="18"/>
                <w:szCs w:val="18"/>
                <w:highlight w:val="none"/>
                <w:u w:val="none"/>
              </w:rPr>
            </w:pPr>
          </w:p>
        </w:tc>
        <w:tc>
          <w:tcPr>
            <w:tcW w:w="283" w:type="pct"/>
            <w:vMerge w:val="continue"/>
            <w:tcBorders>
              <w:top w:val="single" w:color="000000" w:sz="4" w:space="0"/>
              <w:left w:val="single" w:color="000000" w:sz="4" w:space="0"/>
              <w:bottom w:val="single" w:color="000000" w:sz="4" w:space="0"/>
              <w:right w:val="single" w:color="000000" w:sz="4" w:space="0"/>
            </w:tcBorders>
            <w:noWrap/>
            <w:vAlign w:val="center"/>
          </w:tcPr>
          <w:p w14:paraId="2A7C0CB1">
            <w:pPr>
              <w:keepNext w:val="0"/>
              <w:keepLines w:val="0"/>
              <w:pageBreakBefore w:val="0"/>
              <w:kinsoku/>
              <w:wordWrap/>
              <w:overflowPunct/>
              <w:topLinePunct w:val="0"/>
              <w:autoSpaceDE/>
              <w:autoSpaceDN/>
              <w:bidi w:val="0"/>
              <w:adjustRightInd/>
              <w:snapToGrid/>
              <w:spacing w:line="360" w:lineRule="auto"/>
              <w:jc w:val="center"/>
              <w:rPr>
                <w:rFonts w:hint="eastAsia" w:ascii="黑体" w:hAnsi="黑体" w:eastAsia="黑体" w:cs="黑体"/>
                <w:i w:val="0"/>
                <w:iCs w:val="0"/>
                <w:color w:val="000000"/>
                <w:sz w:val="18"/>
                <w:szCs w:val="18"/>
                <w:highlight w:val="none"/>
                <w:u w:val="none"/>
              </w:rPr>
            </w:pPr>
          </w:p>
        </w:tc>
        <w:tc>
          <w:tcPr>
            <w:tcW w:w="3850" w:type="pct"/>
            <w:tcBorders>
              <w:top w:val="single" w:color="000000" w:sz="4" w:space="0"/>
              <w:left w:val="single" w:color="000000" w:sz="4" w:space="0"/>
              <w:bottom w:val="single" w:color="000000" w:sz="4" w:space="0"/>
              <w:right w:val="single" w:color="000000" w:sz="4" w:space="0"/>
            </w:tcBorders>
            <w:noWrap w:val="0"/>
            <w:vAlign w:val="center"/>
          </w:tcPr>
          <w:p w14:paraId="73238511">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1.总长140mm，直型，全齿，头宽2.2mm，头厚2mm。</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2.与患者接触部分采用医用不锈钢制造，该材料化学成分符合YY/T 0294.1-2016《外科器械金属材料第1部分：不锈钢》，应经热处理，硬度为40-48HRC。</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3.器械外表面刷光，不得有锋棱、毛刺及明显的碰伤和划痕，其表面粗糙度不大于0.8μm。</w:t>
            </w:r>
          </w:p>
        </w:tc>
        <w:tc>
          <w:tcPr>
            <w:tcW w:w="200" w:type="pct"/>
            <w:tcBorders>
              <w:top w:val="single" w:color="000000" w:sz="4" w:space="0"/>
              <w:left w:val="single" w:color="000000" w:sz="4" w:space="0"/>
              <w:bottom w:val="single" w:color="000000" w:sz="4" w:space="0"/>
              <w:right w:val="single" w:color="000000" w:sz="4" w:space="0"/>
            </w:tcBorders>
            <w:noWrap w:val="0"/>
            <w:vAlign w:val="center"/>
          </w:tcPr>
          <w:p w14:paraId="3F74BBCB">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30</w:t>
            </w:r>
          </w:p>
        </w:tc>
        <w:tc>
          <w:tcPr>
            <w:tcW w:w="266" w:type="pct"/>
            <w:tcBorders>
              <w:top w:val="single" w:color="000000" w:sz="4" w:space="0"/>
              <w:left w:val="single" w:color="000000" w:sz="4" w:space="0"/>
              <w:bottom w:val="single" w:color="000000" w:sz="4" w:space="0"/>
              <w:right w:val="single" w:color="000000" w:sz="4" w:space="0"/>
            </w:tcBorders>
            <w:noWrap w:val="0"/>
            <w:vAlign w:val="center"/>
          </w:tcPr>
          <w:p w14:paraId="7F986C54">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把</w:t>
            </w:r>
          </w:p>
        </w:tc>
      </w:tr>
      <w:tr w14:paraId="010424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98" w:hRule="atLeast"/>
        </w:trPr>
        <w:tc>
          <w:tcPr>
            <w:tcW w:w="400" w:type="pct"/>
            <w:vMerge w:val="continue"/>
            <w:tcBorders>
              <w:top w:val="single" w:color="000000" w:sz="4" w:space="0"/>
              <w:left w:val="single" w:color="000000" w:sz="4" w:space="0"/>
              <w:bottom w:val="single" w:color="000000" w:sz="4" w:space="0"/>
              <w:right w:val="single" w:color="000000" w:sz="4" w:space="0"/>
            </w:tcBorders>
            <w:noWrap/>
            <w:vAlign w:val="center"/>
          </w:tcPr>
          <w:p w14:paraId="25D34E94">
            <w:pPr>
              <w:keepNext w:val="0"/>
              <w:keepLines w:val="0"/>
              <w:pageBreakBefore w:val="0"/>
              <w:kinsoku/>
              <w:wordWrap/>
              <w:overflowPunct/>
              <w:topLinePunct w:val="0"/>
              <w:autoSpaceDE/>
              <w:autoSpaceDN/>
              <w:bidi w:val="0"/>
              <w:adjustRightInd/>
              <w:snapToGrid/>
              <w:spacing w:line="360" w:lineRule="auto"/>
              <w:jc w:val="center"/>
              <w:rPr>
                <w:rFonts w:hint="eastAsia" w:ascii="黑体" w:hAnsi="黑体" w:eastAsia="黑体" w:cs="黑体"/>
                <w:b/>
                <w:bCs/>
                <w:i w:val="0"/>
                <w:iCs w:val="0"/>
                <w:color w:val="000000"/>
                <w:sz w:val="18"/>
                <w:szCs w:val="18"/>
                <w:highlight w:val="none"/>
                <w:u w:val="none"/>
              </w:rPr>
            </w:pPr>
          </w:p>
        </w:tc>
        <w:tc>
          <w:tcPr>
            <w:tcW w:w="283" w:type="pct"/>
            <w:vMerge w:val="continue"/>
            <w:tcBorders>
              <w:top w:val="single" w:color="000000" w:sz="4" w:space="0"/>
              <w:left w:val="single" w:color="000000" w:sz="4" w:space="0"/>
              <w:bottom w:val="single" w:color="000000" w:sz="4" w:space="0"/>
              <w:right w:val="single" w:color="000000" w:sz="4" w:space="0"/>
            </w:tcBorders>
            <w:noWrap/>
            <w:vAlign w:val="center"/>
          </w:tcPr>
          <w:p w14:paraId="37CB55C4">
            <w:pPr>
              <w:keepNext w:val="0"/>
              <w:keepLines w:val="0"/>
              <w:pageBreakBefore w:val="0"/>
              <w:kinsoku/>
              <w:wordWrap/>
              <w:overflowPunct/>
              <w:topLinePunct w:val="0"/>
              <w:autoSpaceDE/>
              <w:autoSpaceDN/>
              <w:bidi w:val="0"/>
              <w:adjustRightInd/>
              <w:snapToGrid/>
              <w:spacing w:line="360" w:lineRule="auto"/>
              <w:jc w:val="center"/>
              <w:rPr>
                <w:rFonts w:hint="eastAsia" w:ascii="黑体" w:hAnsi="黑体" w:eastAsia="黑体" w:cs="黑体"/>
                <w:i w:val="0"/>
                <w:iCs w:val="0"/>
                <w:color w:val="000000"/>
                <w:sz w:val="18"/>
                <w:szCs w:val="18"/>
                <w:highlight w:val="none"/>
                <w:u w:val="none"/>
              </w:rPr>
            </w:pPr>
          </w:p>
        </w:tc>
        <w:tc>
          <w:tcPr>
            <w:tcW w:w="3850" w:type="pct"/>
            <w:tcBorders>
              <w:top w:val="single" w:color="000000" w:sz="4" w:space="0"/>
              <w:left w:val="single" w:color="000000" w:sz="4" w:space="0"/>
              <w:bottom w:val="single" w:color="000000" w:sz="4" w:space="0"/>
              <w:right w:val="single" w:color="000000" w:sz="4" w:space="0"/>
            </w:tcBorders>
            <w:noWrap w:val="0"/>
            <w:vAlign w:val="center"/>
          </w:tcPr>
          <w:p w14:paraId="2066E4DA">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1.总长180mm，直型，全齿，头宽2.8mm，头厚2.2mm。</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2.与患者接触部分采用医用不锈钢制造，该材料化学成分符合YY/T 0294.1-2016《外科器械金属材料第1部分：不锈钢》，应经热处理，硬度为40-48HRC。</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3.器械外表面电镀，不得有锋棱、毛刺及明显的碰伤和划痕，其表面粗糙度不大于0.4μm。</w:t>
            </w:r>
          </w:p>
        </w:tc>
        <w:tc>
          <w:tcPr>
            <w:tcW w:w="200" w:type="pct"/>
            <w:tcBorders>
              <w:top w:val="single" w:color="000000" w:sz="4" w:space="0"/>
              <w:left w:val="single" w:color="000000" w:sz="4" w:space="0"/>
              <w:bottom w:val="single" w:color="000000" w:sz="4" w:space="0"/>
              <w:right w:val="single" w:color="000000" w:sz="4" w:space="0"/>
            </w:tcBorders>
            <w:noWrap w:val="0"/>
            <w:vAlign w:val="center"/>
          </w:tcPr>
          <w:p w14:paraId="2CCA8A9E">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30</w:t>
            </w:r>
          </w:p>
        </w:tc>
        <w:tc>
          <w:tcPr>
            <w:tcW w:w="266" w:type="pct"/>
            <w:tcBorders>
              <w:top w:val="single" w:color="000000" w:sz="4" w:space="0"/>
              <w:left w:val="single" w:color="000000" w:sz="4" w:space="0"/>
              <w:bottom w:val="single" w:color="000000" w:sz="4" w:space="0"/>
              <w:right w:val="single" w:color="000000" w:sz="4" w:space="0"/>
            </w:tcBorders>
            <w:noWrap w:val="0"/>
            <w:vAlign w:val="center"/>
          </w:tcPr>
          <w:p w14:paraId="61B7B492">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把</w:t>
            </w:r>
          </w:p>
        </w:tc>
      </w:tr>
      <w:tr w14:paraId="70071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98" w:hRule="atLeast"/>
        </w:trPr>
        <w:tc>
          <w:tcPr>
            <w:tcW w:w="400" w:type="pct"/>
            <w:vMerge w:val="continue"/>
            <w:tcBorders>
              <w:top w:val="single" w:color="000000" w:sz="4" w:space="0"/>
              <w:left w:val="single" w:color="000000" w:sz="4" w:space="0"/>
              <w:bottom w:val="single" w:color="000000" w:sz="4" w:space="0"/>
              <w:right w:val="single" w:color="000000" w:sz="4" w:space="0"/>
            </w:tcBorders>
            <w:noWrap/>
            <w:vAlign w:val="center"/>
          </w:tcPr>
          <w:p w14:paraId="59EF92C4">
            <w:pPr>
              <w:keepNext w:val="0"/>
              <w:keepLines w:val="0"/>
              <w:pageBreakBefore w:val="0"/>
              <w:kinsoku/>
              <w:wordWrap/>
              <w:overflowPunct/>
              <w:topLinePunct w:val="0"/>
              <w:autoSpaceDE/>
              <w:autoSpaceDN/>
              <w:bidi w:val="0"/>
              <w:adjustRightInd/>
              <w:snapToGrid/>
              <w:spacing w:line="360" w:lineRule="auto"/>
              <w:jc w:val="center"/>
              <w:rPr>
                <w:rFonts w:hint="eastAsia" w:ascii="黑体" w:hAnsi="黑体" w:eastAsia="黑体" w:cs="黑体"/>
                <w:b/>
                <w:bCs/>
                <w:i w:val="0"/>
                <w:iCs w:val="0"/>
                <w:color w:val="000000"/>
                <w:sz w:val="18"/>
                <w:szCs w:val="18"/>
                <w:highlight w:val="none"/>
                <w:u w:val="none"/>
              </w:rPr>
            </w:pPr>
          </w:p>
        </w:tc>
        <w:tc>
          <w:tcPr>
            <w:tcW w:w="283" w:type="pct"/>
            <w:vMerge w:val="continue"/>
            <w:tcBorders>
              <w:top w:val="single" w:color="000000" w:sz="4" w:space="0"/>
              <w:left w:val="single" w:color="000000" w:sz="4" w:space="0"/>
              <w:bottom w:val="single" w:color="000000" w:sz="4" w:space="0"/>
              <w:right w:val="single" w:color="000000" w:sz="4" w:space="0"/>
            </w:tcBorders>
            <w:noWrap/>
            <w:vAlign w:val="center"/>
          </w:tcPr>
          <w:p w14:paraId="6A668934">
            <w:pPr>
              <w:keepNext w:val="0"/>
              <w:keepLines w:val="0"/>
              <w:pageBreakBefore w:val="0"/>
              <w:kinsoku/>
              <w:wordWrap/>
              <w:overflowPunct/>
              <w:topLinePunct w:val="0"/>
              <w:autoSpaceDE/>
              <w:autoSpaceDN/>
              <w:bidi w:val="0"/>
              <w:adjustRightInd/>
              <w:snapToGrid/>
              <w:spacing w:line="360" w:lineRule="auto"/>
              <w:jc w:val="center"/>
              <w:rPr>
                <w:rFonts w:hint="eastAsia" w:ascii="黑体" w:hAnsi="黑体" w:eastAsia="黑体" w:cs="黑体"/>
                <w:i w:val="0"/>
                <w:iCs w:val="0"/>
                <w:color w:val="000000"/>
                <w:sz w:val="18"/>
                <w:szCs w:val="18"/>
                <w:highlight w:val="none"/>
                <w:u w:val="none"/>
              </w:rPr>
            </w:pPr>
          </w:p>
        </w:tc>
        <w:tc>
          <w:tcPr>
            <w:tcW w:w="3850" w:type="pct"/>
            <w:tcBorders>
              <w:top w:val="single" w:color="000000" w:sz="4" w:space="0"/>
              <w:left w:val="single" w:color="000000" w:sz="4" w:space="0"/>
              <w:bottom w:val="single" w:color="000000" w:sz="4" w:space="0"/>
              <w:right w:val="single" w:color="000000" w:sz="4" w:space="0"/>
            </w:tcBorders>
            <w:noWrap w:val="0"/>
            <w:vAlign w:val="center"/>
          </w:tcPr>
          <w:p w14:paraId="4E28B4FF">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1.总长200mm，直型，全齿，头宽3.2mm，头厚2.5mm。</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2.与患者接触部分采用医用不锈钢制造，该材料化学成分符合YY/T 0294.1-2016《外科器械金属材料第1部分：不锈钢》，应经热处理，硬度为40-48HRC。</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3.器械外表面电镀，不得有锋棱、毛刺及明显的碰伤和划痕，其表面粗糙度不大于0.4μm。</w:t>
            </w:r>
          </w:p>
        </w:tc>
        <w:tc>
          <w:tcPr>
            <w:tcW w:w="200" w:type="pct"/>
            <w:tcBorders>
              <w:top w:val="single" w:color="000000" w:sz="4" w:space="0"/>
              <w:left w:val="single" w:color="000000" w:sz="4" w:space="0"/>
              <w:bottom w:val="single" w:color="000000" w:sz="4" w:space="0"/>
              <w:right w:val="single" w:color="000000" w:sz="4" w:space="0"/>
            </w:tcBorders>
            <w:noWrap w:val="0"/>
            <w:vAlign w:val="center"/>
          </w:tcPr>
          <w:p w14:paraId="3E78FA5A">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30</w:t>
            </w:r>
          </w:p>
        </w:tc>
        <w:tc>
          <w:tcPr>
            <w:tcW w:w="266" w:type="pct"/>
            <w:tcBorders>
              <w:top w:val="single" w:color="000000" w:sz="4" w:space="0"/>
              <w:left w:val="single" w:color="000000" w:sz="4" w:space="0"/>
              <w:bottom w:val="single" w:color="000000" w:sz="4" w:space="0"/>
              <w:right w:val="single" w:color="000000" w:sz="4" w:space="0"/>
            </w:tcBorders>
            <w:noWrap w:val="0"/>
            <w:vAlign w:val="center"/>
          </w:tcPr>
          <w:p w14:paraId="182A00D6">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把</w:t>
            </w:r>
          </w:p>
        </w:tc>
      </w:tr>
      <w:tr w14:paraId="4C4397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98" w:hRule="atLeast"/>
        </w:trPr>
        <w:tc>
          <w:tcPr>
            <w:tcW w:w="400" w:type="pct"/>
            <w:vMerge w:val="continue"/>
            <w:tcBorders>
              <w:top w:val="single" w:color="000000" w:sz="4" w:space="0"/>
              <w:left w:val="single" w:color="000000" w:sz="4" w:space="0"/>
              <w:bottom w:val="single" w:color="000000" w:sz="4" w:space="0"/>
              <w:right w:val="single" w:color="000000" w:sz="4" w:space="0"/>
            </w:tcBorders>
            <w:noWrap/>
            <w:vAlign w:val="center"/>
          </w:tcPr>
          <w:p w14:paraId="64392648">
            <w:pPr>
              <w:keepNext w:val="0"/>
              <w:keepLines w:val="0"/>
              <w:pageBreakBefore w:val="0"/>
              <w:kinsoku/>
              <w:wordWrap/>
              <w:overflowPunct/>
              <w:topLinePunct w:val="0"/>
              <w:autoSpaceDE/>
              <w:autoSpaceDN/>
              <w:bidi w:val="0"/>
              <w:adjustRightInd/>
              <w:snapToGrid/>
              <w:spacing w:line="360" w:lineRule="auto"/>
              <w:jc w:val="center"/>
              <w:rPr>
                <w:rFonts w:hint="eastAsia" w:ascii="黑体" w:hAnsi="黑体" w:eastAsia="黑体" w:cs="黑体"/>
                <w:b/>
                <w:bCs/>
                <w:i w:val="0"/>
                <w:iCs w:val="0"/>
                <w:color w:val="000000"/>
                <w:sz w:val="18"/>
                <w:szCs w:val="18"/>
                <w:highlight w:val="none"/>
                <w:u w:val="none"/>
              </w:rPr>
            </w:pPr>
          </w:p>
        </w:tc>
        <w:tc>
          <w:tcPr>
            <w:tcW w:w="283" w:type="pct"/>
            <w:vMerge w:val="restart"/>
            <w:tcBorders>
              <w:top w:val="single" w:color="000000" w:sz="4" w:space="0"/>
              <w:left w:val="single" w:color="000000" w:sz="4" w:space="0"/>
              <w:bottom w:val="single" w:color="000000" w:sz="4" w:space="0"/>
              <w:right w:val="single" w:color="000000" w:sz="4" w:space="0"/>
            </w:tcBorders>
            <w:noWrap/>
            <w:vAlign w:val="center"/>
          </w:tcPr>
          <w:p w14:paraId="2102A942">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扣扣钳</w:t>
            </w:r>
          </w:p>
        </w:tc>
        <w:tc>
          <w:tcPr>
            <w:tcW w:w="3850" w:type="pct"/>
            <w:tcBorders>
              <w:top w:val="single" w:color="000000" w:sz="4" w:space="0"/>
              <w:left w:val="single" w:color="000000" w:sz="4" w:space="0"/>
              <w:bottom w:val="single" w:color="000000" w:sz="4" w:space="0"/>
              <w:right w:val="single" w:color="000000" w:sz="4" w:space="0"/>
            </w:tcBorders>
            <w:noWrap w:val="0"/>
            <w:vAlign w:val="center"/>
          </w:tcPr>
          <w:p w14:paraId="683AAA6F">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1.总长180mm，直型，全齿，有钩，头宽3.8mm，头厚3mm。</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2.与患者接触部分采用医用不锈钢制造，该材料化学成分符合YY/T 0294.1-2016《外科器械金属材料第1部分：不锈钢》，应经热处理，硬度为40-48HRC。</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3.器械外表面刷光，不得有锋棱、毛刺及明显的碰伤和划痕，其表面粗糙度不大于0.8μm。</w:t>
            </w:r>
          </w:p>
        </w:tc>
        <w:tc>
          <w:tcPr>
            <w:tcW w:w="200" w:type="pct"/>
            <w:tcBorders>
              <w:top w:val="single" w:color="000000" w:sz="4" w:space="0"/>
              <w:left w:val="single" w:color="000000" w:sz="4" w:space="0"/>
              <w:bottom w:val="single" w:color="000000" w:sz="4" w:space="0"/>
              <w:right w:val="single" w:color="000000" w:sz="4" w:space="0"/>
            </w:tcBorders>
            <w:noWrap w:val="0"/>
            <w:vAlign w:val="center"/>
          </w:tcPr>
          <w:p w14:paraId="22306DC7">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20</w:t>
            </w:r>
          </w:p>
        </w:tc>
        <w:tc>
          <w:tcPr>
            <w:tcW w:w="266" w:type="pct"/>
            <w:tcBorders>
              <w:top w:val="single" w:color="000000" w:sz="4" w:space="0"/>
              <w:left w:val="single" w:color="000000" w:sz="4" w:space="0"/>
              <w:bottom w:val="single" w:color="000000" w:sz="4" w:space="0"/>
              <w:right w:val="single" w:color="000000" w:sz="4" w:space="0"/>
            </w:tcBorders>
            <w:noWrap w:val="0"/>
            <w:vAlign w:val="center"/>
          </w:tcPr>
          <w:p w14:paraId="0DB34473">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把</w:t>
            </w:r>
          </w:p>
        </w:tc>
      </w:tr>
      <w:tr w14:paraId="1BEAD0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98" w:hRule="atLeast"/>
        </w:trPr>
        <w:tc>
          <w:tcPr>
            <w:tcW w:w="400" w:type="pct"/>
            <w:vMerge w:val="continue"/>
            <w:tcBorders>
              <w:top w:val="single" w:color="000000" w:sz="4" w:space="0"/>
              <w:left w:val="single" w:color="000000" w:sz="4" w:space="0"/>
              <w:bottom w:val="single" w:color="000000" w:sz="4" w:space="0"/>
              <w:right w:val="single" w:color="000000" w:sz="4" w:space="0"/>
            </w:tcBorders>
            <w:noWrap/>
            <w:vAlign w:val="center"/>
          </w:tcPr>
          <w:p w14:paraId="19F9262A">
            <w:pPr>
              <w:keepNext w:val="0"/>
              <w:keepLines w:val="0"/>
              <w:pageBreakBefore w:val="0"/>
              <w:kinsoku/>
              <w:wordWrap/>
              <w:overflowPunct/>
              <w:topLinePunct w:val="0"/>
              <w:autoSpaceDE/>
              <w:autoSpaceDN/>
              <w:bidi w:val="0"/>
              <w:adjustRightInd/>
              <w:snapToGrid/>
              <w:spacing w:line="360" w:lineRule="auto"/>
              <w:jc w:val="center"/>
              <w:rPr>
                <w:rFonts w:hint="eastAsia" w:ascii="黑体" w:hAnsi="黑体" w:eastAsia="黑体" w:cs="黑体"/>
                <w:b/>
                <w:bCs/>
                <w:i w:val="0"/>
                <w:iCs w:val="0"/>
                <w:color w:val="000000"/>
                <w:sz w:val="18"/>
                <w:szCs w:val="18"/>
                <w:highlight w:val="none"/>
                <w:u w:val="none"/>
              </w:rPr>
            </w:pPr>
          </w:p>
        </w:tc>
        <w:tc>
          <w:tcPr>
            <w:tcW w:w="283" w:type="pct"/>
            <w:vMerge w:val="continue"/>
            <w:tcBorders>
              <w:top w:val="single" w:color="000000" w:sz="4" w:space="0"/>
              <w:left w:val="single" w:color="000000" w:sz="4" w:space="0"/>
              <w:bottom w:val="single" w:color="000000" w:sz="4" w:space="0"/>
              <w:right w:val="single" w:color="000000" w:sz="4" w:space="0"/>
            </w:tcBorders>
            <w:noWrap/>
            <w:vAlign w:val="center"/>
          </w:tcPr>
          <w:p w14:paraId="599CD30F">
            <w:pPr>
              <w:keepNext w:val="0"/>
              <w:keepLines w:val="0"/>
              <w:pageBreakBefore w:val="0"/>
              <w:kinsoku/>
              <w:wordWrap/>
              <w:overflowPunct/>
              <w:topLinePunct w:val="0"/>
              <w:autoSpaceDE/>
              <w:autoSpaceDN/>
              <w:bidi w:val="0"/>
              <w:adjustRightInd/>
              <w:snapToGrid/>
              <w:spacing w:line="360" w:lineRule="auto"/>
              <w:jc w:val="center"/>
              <w:rPr>
                <w:rFonts w:hint="eastAsia" w:ascii="黑体" w:hAnsi="黑体" w:eastAsia="黑体" w:cs="黑体"/>
                <w:i w:val="0"/>
                <w:iCs w:val="0"/>
                <w:color w:val="000000"/>
                <w:sz w:val="18"/>
                <w:szCs w:val="18"/>
                <w:highlight w:val="none"/>
                <w:u w:val="none"/>
              </w:rPr>
            </w:pPr>
          </w:p>
        </w:tc>
        <w:tc>
          <w:tcPr>
            <w:tcW w:w="3850" w:type="pct"/>
            <w:tcBorders>
              <w:top w:val="single" w:color="000000" w:sz="4" w:space="0"/>
              <w:left w:val="single" w:color="000000" w:sz="4" w:space="0"/>
              <w:bottom w:val="single" w:color="000000" w:sz="4" w:space="0"/>
              <w:right w:val="single" w:color="000000" w:sz="4" w:space="0"/>
            </w:tcBorders>
            <w:noWrap w:val="0"/>
            <w:vAlign w:val="center"/>
          </w:tcPr>
          <w:p w14:paraId="10AB370F">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1.总长180mm，弯型，弯头高度12mm，全齿，有钩，头宽3.8mm，头厚3mm。</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2.与患者接触部分采用医用不锈钢制造，该材料化学成分符合YY/T 0294.1-2016《外科器械金属材料第1部分：不锈钢》，应经热处理，硬度为40-48HRC。</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3.器械外表面刷光，不得有锋棱、毛刺及明显的碰伤和划痕，其表面粗糙度不大于0.8μm。</w:t>
            </w:r>
          </w:p>
        </w:tc>
        <w:tc>
          <w:tcPr>
            <w:tcW w:w="200" w:type="pct"/>
            <w:tcBorders>
              <w:top w:val="single" w:color="000000" w:sz="4" w:space="0"/>
              <w:left w:val="single" w:color="000000" w:sz="4" w:space="0"/>
              <w:bottom w:val="single" w:color="000000" w:sz="4" w:space="0"/>
              <w:right w:val="single" w:color="000000" w:sz="4" w:space="0"/>
            </w:tcBorders>
            <w:noWrap w:val="0"/>
            <w:vAlign w:val="center"/>
          </w:tcPr>
          <w:p w14:paraId="0C3D4880">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50</w:t>
            </w:r>
          </w:p>
        </w:tc>
        <w:tc>
          <w:tcPr>
            <w:tcW w:w="266" w:type="pct"/>
            <w:tcBorders>
              <w:top w:val="single" w:color="000000" w:sz="4" w:space="0"/>
              <w:left w:val="single" w:color="000000" w:sz="4" w:space="0"/>
              <w:bottom w:val="single" w:color="000000" w:sz="4" w:space="0"/>
              <w:right w:val="single" w:color="000000" w:sz="4" w:space="0"/>
            </w:tcBorders>
            <w:noWrap w:val="0"/>
            <w:vAlign w:val="center"/>
          </w:tcPr>
          <w:p w14:paraId="27B8F050">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把</w:t>
            </w:r>
          </w:p>
        </w:tc>
      </w:tr>
      <w:tr w14:paraId="7DA94E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96" w:hRule="atLeast"/>
        </w:trPr>
        <w:tc>
          <w:tcPr>
            <w:tcW w:w="400" w:type="pct"/>
            <w:vMerge w:val="continue"/>
            <w:tcBorders>
              <w:top w:val="single" w:color="000000" w:sz="4" w:space="0"/>
              <w:left w:val="single" w:color="000000" w:sz="4" w:space="0"/>
              <w:bottom w:val="single" w:color="000000" w:sz="4" w:space="0"/>
              <w:right w:val="single" w:color="000000" w:sz="4" w:space="0"/>
            </w:tcBorders>
            <w:noWrap/>
            <w:vAlign w:val="center"/>
          </w:tcPr>
          <w:p w14:paraId="41B12DE9">
            <w:pPr>
              <w:keepNext w:val="0"/>
              <w:keepLines w:val="0"/>
              <w:pageBreakBefore w:val="0"/>
              <w:kinsoku/>
              <w:wordWrap/>
              <w:overflowPunct/>
              <w:topLinePunct w:val="0"/>
              <w:autoSpaceDE/>
              <w:autoSpaceDN/>
              <w:bidi w:val="0"/>
              <w:adjustRightInd/>
              <w:snapToGrid/>
              <w:spacing w:line="360" w:lineRule="auto"/>
              <w:jc w:val="center"/>
              <w:rPr>
                <w:rFonts w:hint="eastAsia" w:ascii="黑体" w:hAnsi="黑体" w:eastAsia="黑体" w:cs="黑体"/>
                <w:b/>
                <w:bCs/>
                <w:i w:val="0"/>
                <w:iCs w:val="0"/>
                <w:color w:val="000000"/>
                <w:sz w:val="18"/>
                <w:szCs w:val="18"/>
                <w:highlight w:val="none"/>
                <w:u w:val="none"/>
              </w:rPr>
            </w:pPr>
          </w:p>
        </w:tc>
        <w:tc>
          <w:tcPr>
            <w:tcW w:w="283" w:type="pct"/>
            <w:tcBorders>
              <w:top w:val="single" w:color="000000" w:sz="4" w:space="0"/>
              <w:left w:val="single" w:color="000000" w:sz="4" w:space="0"/>
              <w:bottom w:val="single" w:color="000000" w:sz="4" w:space="0"/>
              <w:right w:val="single" w:color="000000" w:sz="4" w:space="0"/>
            </w:tcBorders>
            <w:noWrap/>
            <w:vAlign w:val="center"/>
          </w:tcPr>
          <w:p w14:paraId="48721A6A">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分离直角钳</w:t>
            </w:r>
          </w:p>
        </w:tc>
        <w:tc>
          <w:tcPr>
            <w:tcW w:w="3850" w:type="pct"/>
            <w:tcBorders>
              <w:top w:val="single" w:color="000000" w:sz="4" w:space="0"/>
              <w:left w:val="single" w:color="000000" w:sz="4" w:space="0"/>
              <w:bottom w:val="single" w:color="000000" w:sz="4" w:space="0"/>
              <w:right w:val="single" w:color="000000" w:sz="4" w:space="0"/>
            </w:tcBorders>
            <w:noWrap w:val="0"/>
            <w:vAlign w:val="center"/>
          </w:tcPr>
          <w:p w14:paraId="581A66CB">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1.总长180mm，钳头的弯曲高度15mm，钳头与钳身夹角90°，角弯型，全齿，头宽1.7mm，头厚1.4mm。</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2.与患者接触部分采用医用不锈钢制造，该材料化学成分符合YY/T 0294.1-2016《外科器械金属材料第1部分：不锈钢》，应经热处理，硬度为40-48HRC。</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3.器械外表面亚光，不得有锋棱、毛刺及明显的碰伤和划痕，其表面粗糙度不大于0.8μm。</w:t>
            </w:r>
          </w:p>
        </w:tc>
        <w:tc>
          <w:tcPr>
            <w:tcW w:w="200" w:type="pct"/>
            <w:tcBorders>
              <w:top w:val="single" w:color="000000" w:sz="4" w:space="0"/>
              <w:left w:val="single" w:color="000000" w:sz="4" w:space="0"/>
              <w:bottom w:val="single" w:color="000000" w:sz="4" w:space="0"/>
              <w:right w:val="single" w:color="000000" w:sz="4" w:space="0"/>
            </w:tcBorders>
            <w:noWrap w:val="0"/>
            <w:vAlign w:val="center"/>
          </w:tcPr>
          <w:p w14:paraId="40959870">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50</w:t>
            </w:r>
          </w:p>
        </w:tc>
        <w:tc>
          <w:tcPr>
            <w:tcW w:w="266" w:type="pct"/>
            <w:tcBorders>
              <w:top w:val="single" w:color="000000" w:sz="4" w:space="0"/>
              <w:left w:val="single" w:color="000000" w:sz="4" w:space="0"/>
              <w:bottom w:val="single" w:color="000000" w:sz="4" w:space="0"/>
              <w:right w:val="single" w:color="000000" w:sz="4" w:space="0"/>
            </w:tcBorders>
            <w:noWrap w:val="0"/>
            <w:vAlign w:val="center"/>
          </w:tcPr>
          <w:p w14:paraId="238CA7C1">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把</w:t>
            </w:r>
          </w:p>
        </w:tc>
      </w:tr>
      <w:tr w14:paraId="778404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98" w:hRule="atLeast"/>
        </w:trPr>
        <w:tc>
          <w:tcPr>
            <w:tcW w:w="400" w:type="pct"/>
            <w:vMerge w:val="continue"/>
            <w:tcBorders>
              <w:top w:val="single" w:color="000000" w:sz="4" w:space="0"/>
              <w:left w:val="single" w:color="000000" w:sz="4" w:space="0"/>
              <w:bottom w:val="single" w:color="000000" w:sz="4" w:space="0"/>
              <w:right w:val="single" w:color="000000" w:sz="4" w:space="0"/>
            </w:tcBorders>
            <w:noWrap/>
            <w:vAlign w:val="center"/>
          </w:tcPr>
          <w:p w14:paraId="12D02D4B">
            <w:pPr>
              <w:keepNext w:val="0"/>
              <w:keepLines w:val="0"/>
              <w:pageBreakBefore w:val="0"/>
              <w:kinsoku/>
              <w:wordWrap/>
              <w:overflowPunct/>
              <w:topLinePunct w:val="0"/>
              <w:autoSpaceDE/>
              <w:autoSpaceDN/>
              <w:bidi w:val="0"/>
              <w:adjustRightInd/>
              <w:snapToGrid/>
              <w:spacing w:line="360" w:lineRule="auto"/>
              <w:jc w:val="center"/>
              <w:rPr>
                <w:rFonts w:hint="eastAsia" w:ascii="黑体" w:hAnsi="黑体" w:eastAsia="黑体" w:cs="黑体"/>
                <w:b/>
                <w:bCs/>
                <w:i w:val="0"/>
                <w:iCs w:val="0"/>
                <w:color w:val="000000"/>
                <w:sz w:val="18"/>
                <w:szCs w:val="18"/>
                <w:highlight w:val="none"/>
                <w:u w:val="none"/>
              </w:rPr>
            </w:pPr>
          </w:p>
        </w:tc>
        <w:tc>
          <w:tcPr>
            <w:tcW w:w="283" w:type="pct"/>
            <w:vMerge w:val="restart"/>
            <w:tcBorders>
              <w:top w:val="single" w:color="000000" w:sz="4" w:space="0"/>
              <w:left w:val="single" w:color="000000" w:sz="4" w:space="0"/>
              <w:bottom w:val="single" w:color="000000" w:sz="4" w:space="0"/>
              <w:right w:val="single" w:color="000000" w:sz="4" w:space="0"/>
            </w:tcBorders>
            <w:noWrap/>
            <w:vAlign w:val="center"/>
          </w:tcPr>
          <w:p w14:paraId="1FFA509B">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耳科器械</w:t>
            </w:r>
          </w:p>
        </w:tc>
        <w:tc>
          <w:tcPr>
            <w:tcW w:w="3850" w:type="pct"/>
            <w:tcBorders>
              <w:top w:val="single" w:color="000000" w:sz="4" w:space="0"/>
              <w:left w:val="single" w:color="000000" w:sz="4" w:space="0"/>
              <w:bottom w:val="single" w:color="000000" w:sz="4" w:space="0"/>
              <w:right w:val="single" w:color="000000" w:sz="4" w:space="0"/>
            </w:tcBorders>
            <w:noWrap w:val="0"/>
            <w:vAlign w:val="center"/>
          </w:tcPr>
          <w:p w14:paraId="069D696A">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1.总长90mm，管径0.6mm，耳用。</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2.与患者接触部分的金属材料采用医用不锈钢材料制造，该材料化学成分符合GB/T 3280-2015。</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3.器械表面电镀处理，不得有锋棱、毛刺及明显的碰伤和划痕，其表面粗糙度Ra之值为：不大于0.4μm。</w:t>
            </w:r>
          </w:p>
        </w:tc>
        <w:tc>
          <w:tcPr>
            <w:tcW w:w="200" w:type="pct"/>
            <w:tcBorders>
              <w:top w:val="single" w:color="000000" w:sz="4" w:space="0"/>
              <w:left w:val="single" w:color="000000" w:sz="4" w:space="0"/>
              <w:bottom w:val="single" w:color="000000" w:sz="4" w:space="0"/>
              <w:right w:val="single" w:color="000000" w:sz="4" w:space="0"/>
            </w:tcBorders>
            <w:noWrap w:val="0"/>
            <w:vAlign w:val="center"/>
          </w:tcPr>
          <w:p w14:paraId="5641A854">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2</w:t>
            </w:r>
          </w:p>
        </w:tc>
        <w:tc>
          <w:tcPr>
            <w:tcW w:w="266" w:type="pct"/>
            <w:tcBorders>
              <w:top w:val="single" w:color="000000" w:sz="4" w:space="0"/>
              <w:left w:val="single" w:color="000000" w:sz="4" w:space="0"/>
              <w:bottom w:val="single" w:color="000000" w:sz="4" w:space="0"/>
              <w:right w:val="single" w:color="000000" w:sz="4" w:space="0"/>
            </w:tcBorders>
            <w:noWrap w:val="0"/>
            <w:vAlign w:val="center"/>
          </w:tcPr>
          <w:p w14:paraId="1E66210C">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把</w:t>
            </w:r>
          </w:p>
        </w:tc>
      </w:tr>
      <w:tr w14:paraId="3A12A2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98" w:hRule="atLeast"/>
        </w:trPr>
        <w:tc>
          <w:tcPr>
            <w:tcW w:w="400" w:type="pct"/>
            <w:vMerge w:val="continue"/>
            <w:tcBorders>
              <w:top w:val="single" w:color="000000" w:sz="4" w:space="0"/>
              <w:left w:val="single" w:color="000000" w:sz="4" w:space="0"/>
              <w:bottom w:val="single" w:color="000000" w:sz="4" w:space="0"/>
              <w:right w:val="single" w:color="000000" w:sz="4" w:space="0"/>
            </w:tcBorders>
            <w:noWrap/>
            <w:vAlign w:val="center"/>
          </w:tcPr>
          <w:p w14:paraId="7E0A29B4">
            <w:pPr>
              <w:keepNext w:val="0"/>
              <w:keepLines w:val="0"/>
              <w:pageBreakBefore w:val="0"/>
              <w:kinsoku/>
              <w:wordWrap/>
              <w:overflowPunct/>
              <w:topLinePunct w:val="0"/>
              <w:autoSpaceDE/>
              <w:autoSpaceDN/>
              <w:bidi w:val="0"/>
              <w:adjustRightInd/>
              <w:snapToGrid/>
              <w:spacing w:line="360" w:lineRule="auto"/>
              <w:jc w:val="center"/>
              <w:rPr>
                <w:rFonts w:hint="eastAsia" w:ascii="黑体" w:hAnsi="黑体" w:eastAsia="黑体" w:cs="黑体"/>
                <w:b/>
                <w:bCs/>
                <w:i w:val="0"/>
                <w:iCs w:val="0"/>
                <w:color w:val="000000"/>
                <w:sz w:val="18"/>
                <w:szCs w:val="18"/>
                <w:highlight w:val="none"/>
                <w:u w:val="none"/>
              </w:rPr>
            </w:pPr>
          </w:p>
        </w:tc>
        <w:tc>
          <w:tcPr>
            <w:tcW w:w="283" w:type="pct"/>
            <w:vMerge w:val="continue"/>
            <w:tcBorders>
              <w:top w:val="single" w:color="000000" w:sz="4" w:space="0"/>
              <w:left w:val="single" w:color="000000" w:sz="4" w:space="0"/>
              <w:bottom w:val="single" w:color="000000" w:sz="4" w:space="0"/>
              <w:right w:val="single" w:color="000000" w:sz="4" w:space="0"/>
            </w:tcBorders>
            <w:noWrap/>
            <w:vAlign w:val="center"/>
          </w:tcPr>
          <w:p w14:paraId="618516AD">
            <w:pPr>
              <w:keepNext w:val="0"/>
              <w:keepLines w:val="0"/>
              <w:pageBreakBefore w:val="0"/>
              <w:kinsoku/>
              <w:wordWrap/>
              <w:overflowPunct/>
              <w:topLinePunct w:val="0"/>
              <w:autoSpaceDE/>
              <w:autoSpaceDN/>
              <w:bidi w:val="0"/>
              <w:adjustRightInd/>
              <w:snapToGrid/>
              <w:spacing w:line="360" w:lineRule="auto"/>
              <w:jc w:val="center"/>
              <w:rPr>
                <w:rFonts w:hint="eastAsia" w:ascii="黑体" w:hAnsi="黑体" w:eastAsia="黑体" w:cs="黑体"/>
                <w:i w:val="0"/>
                <w:iCs w:val="0"/>
                <w:color w:val="000000"/>
                <w:sz w:val="18"/>
                <w:szCs w:val="18"/>
                <w:highlight w:val="none"/>
                <w:u w:val="none"/>
              </w:rPr>
            </w:pPr>
          </w:p>
        </w:tc>
        <w:tc>
          <w:tcPr>
            <w:tcW w:w="3850" w:type="pct"/>
            <w:tcBorders>
              <w:top w:val="single" w:color="000000" w:sz="4" w:space="0"/>
              <w:left w:val="single" w:color="000000" w:sz="4" w:space="0"/>
              <w:bottom w:val="single" w:color="000000" w:sz="4" w:space="0"/>
              <w:right w:val="single" w:color="000000" w:sz="4" w:space="0"/>
            </w:tcBorders>
            <w:noWrap w:val="0"/>
            <w:vAlign w:val="center"/>
          </w:tcPr>
          <w:p w14:paraId="1CBB6A86">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1.工作长度75mm，管径0.8mm，耳用。</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2.与患者接触部分的金属材料采用医用不锈钢材料制造，该材料化学成分符合GB/T 3280-2015。</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3.器械表面电镀处理，不得有锋棱、毛刺及明显的碰伤和划痕，其表面粗糙度Ra之值为：不大于0.4μm。</w:t>
            </w:r>
          </w:p>
        </w:tc>
        <w:tc>
          <w:tcPr>
            <w:tcW w:w="200" w:type="pct"/>
            <w:tcBorders>
              <w:top w:val="single" w:color="000000" w:sz="4" w:space="0"/>
              <w:left w:val="single" w:color="000000" w:sz="4" w:space="0"/>
              <w:bottom w:val="single" w:color="000000" w:sz="4" w:space="0"/>
              <w:right w:val="single" w:color="000000" w:sz="4" w:space="0"/>
            </w:tcBorders>
            <w:noWrap w:val="0"/>
            <w:vAlign w:val="center"/>
          </w:tcPr>
          <w:p w14:paraId="309B2D05">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2</w:t>
            </w:r>
          </w:p>
        </w:tc>
        <w:tc>
          <w:tcPr>
            <w:tcW w:w="266" w:type="pct"/>
            <w:tcBorders>
              <w:top w:val="single" w:color="000000" w:sz="4" w:space="0"/>
              <w:left w:val="single" w:color="000000" w:sz="4" w:space="0"/>
              <w:bottom w:val="single" w:color="000000" w:sz="4" w:space="0"/>
              <w:right w:val="single" w:color="000000" w:sz="4" w:space="0"/>
            </w:tcBorders>
            <w:noWrap w:val="0"/>
            <w:vAlign w:val="center"/>
          </w:tcPr>
          <w:p w14:paraId="477B8368">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把</w:t>
            </w:r>
          </w:p>
        </w:tc>
      </w:tr>
      <w:tr w14:paraId="1C7998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98" w:hRule="atLeast"/>
        </w:trPr>
        <w:tc>
          <w:tcPr>
            <w:tcW w:w="400" w:type="pct"/>
            <w:vMerge w:val="continue"/>
            <w:tcBorders>
              <w:top w:val="single" w:color="000000" w:sz="4" w:space="0"/>
              <w:left w:val="single" w:color="000000" w:sz="4" w:space="0"/>
              <w:bottom w:val="single" w:color="000000" w:sz="4" w:space="0"/>
              <w:right w:val="single" w:color="000000" w:sz="4" w:space="0"/>
            </w:tcBorders>
            <w:noWrap/>
            <w:vAlign w:val="center"/>
          </w:tcPr>
          <w:p w14:paraId="127FC5B2">
            <w:pPr>
              <w:keepNext w:val="0"/>
              <w:keepLines w:val="0"/>
              <w:pageBreakBefore w:val="0"/>
              <w:kinsoku/>
              <w:wordWrap/>
              <w:overflowPunct/>
              <w:topLinePunct w:val="0"/>
              <w:autoSpaceDE/>
              <w:autoSpaceDN/>
              <w:bidi w:val="0"/>
              <w:adjustRightInd/>
              <w:snapToGrid/>
              <w:spacing w:line="360" w:lineRule="auto"/>
              <w:jc w:val="center"/>
              <w:rPr>
                <w:rFonts w:hint="eastAsia" w:ascii="黑体" w:hAnsi="黑体" w:eastAsia="黑体" w:cs="黑体"/>
                <w:b/>
                <w:bCs/>
                <w:i w:val="0"/>
                <w:iCs w:val="0"/>
                <w:color w:val="000000"/>
                <w:sz w:val="18"/>
                <w:szCs w:val="18"/>
                <w:highlight w:val="none"/>
                <w:u w:val="none"/>
              </w:rPr>
            </w:pPr>
          </w:p>
        </w:tc>
        <w:tc>
          <w:tcPr>
            <w:tcW w:w="283" w:type="pct"/>
            <w:vMerge w:val="continue"/>
            <w:tcBorders>
              <w:top w:val="single" w:color="000000" w:sz="4" w:space="0"/>
              <w:left w:val="single" w:color="000000" w:sz="4" w:space="0"/>
              <w:bottom w:val="single" w:color="000000" w:sz="4" w:space="0"/>
              <w:right w:val="single" w:color="000000" w:sz="4" w:space="0"/>
            </w:tcBorders>
            <w:noWrap/>
            <w:vAlign w:val="center"/>
          </w:tcPr>
          <w:p w14:paraId="2609982C">
            <w:pPr>
              <w:keepNext w:val="0"/>
              <w:keepLines w:val="0"/>
              <w:pageBreakBefore w:val="0"/>
              <w:kinsoku/>
              <w:wordWrap/>
              <w:overflowPunct/>
              <w:topLinePunct w:val="0"/>
              <w:autoSpaceDE/>
              <w:autoSpaceDN/>
              <w:bidi w:val="0"/>
              <w:adjustRightInd/>
              <w:snapToGrid/>
              <w:spacing w:line="360" w:lineRule="auto"/>
              <w:jc w:val="center"/>
              <w:rPr>
                <w:rFonts w:hint="eastAsia" w:ascii="黑体" w:hAnsi="黑体" w:eastAsia="黑体" w:cs="黑体"/>
                <w:i w:val="0"/>
                <w:iCs w:val="0"/>
                <w:color w:val="000000"/>
                <w:sz w:val="18"/>
                <w:szCs w:val="18"/>
                <w:highlight w:val="none"/>
                <w:u w:val="none"/>
              </w:rPr>
            </w:pPr>
          </w:p>
        </w:tc>
        <w:tc>
          <w:tcPr>
            <w:tcW w:w="3850" w:type="pct"/>
            <w:tcBorders>
              <w:top w:val="single" w:color="000000" w:sz="4" w:space="0"/>
              <w:left w:val="single" w:color="000000" w:sz="4" w:space="0"/>
              <w:bottom w:val="single" w:color="000000" w:sz="4" w:space="0"/>
              <w:right w:val="single" w:color="000000" w:sz="4" w:space="0"/>
            </w:tcBorders>
            <w:noWrap w:val="0"/>
            <w:vAlign w:val="center"/>
          </w:tcPr>
          <w:p w14:paraId="164EB7B9">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1.工作长度90mm，直径1.5mm，上弯，耳用。</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2.与患者接触部分的金属材料采用医用不锈钢材料制造，该材料化学成分符合GB/T 3280-2015。</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3.器械表面亚光处理，不得有锋棱、毛刺及明显的碰伤和划痕，其表面粗糙度Ra之值为：不大于0.8μm。</w:t>
            </w:r>
          </w:p>
        </w:tc>
        <w:tc>
          <w:tcPr>
            <w:tcW w:w="200" w:type="pct"/>
            <w:tcBorders>
              <w:top w:val="single" w:color="000000" w:sz="4" w:space="0"/>
              <w:left w:val="single" w:color="000000" w:sz="4" w:space="0"/>
              <w:bottom w:val="single" w:color="000000" w:sz="4" w:space="0"/>
              <w:right w:val="single" w:color="000000" w:sz="4" w:space="0"/>
            </w:tcBorders>
            <w:noWrap w:val="0"/>
            <w:vAlign w:val="center"/>
          </w:tcPr>
          <w:p w14:paraId="73FB6D36">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2</w:t>
            </w:r>
          </w:p>
        </w:tc>
        <w:tc>
          <w:tcPr>
            <w:tcW w:w="266" w:type="pct"/>
            <w:tcBorders>
              <w:top w:val="single" w:color="000000" w:sz="4" w:space="0"/>
              <w:left w:val="single" w:color="000000" w:sz="4" w:space="0"/>
              <w:bottom w:val="single" w:color="000000" w:sz="4" w:space="0"/>
              <w:right w:val="single" w:color="000000" w:sz="4" w:space="0"/>
            </w:tcBorders>
            <w:noWrap w:val="0"/>
            <w:vAlign w:val="center"/>
          </w:tcPr>
          <w:p w14:paraId="46601F16">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把</w:t>
            </w:r>
          </w:p>
        </w:tc>
      </w:tr>
      <w:tr w14:paraId="5F1B6B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98" w:hRule="atLeast"/>
        </w:trPr>
        <w:tc>
          <w:tcPr>
            <w:tcW w:w="400" w:type="pct"/>
            <w:vMerge w:val="continue"/>
            <w:tcBorders>
              <w:top w:val="single" w:color="000000" w:sz="4" w:space="0"/>
              <w:left w:val="single" w:color="000000" w:sz="4" w:space="0"/>
              <w:bottom w:val="single" w:color="000000" w:sz="4" w:space="0"/>
              <w:right w:val="single" w:color="000000" w:sz="4" w:space="0"/>
            </w:tcBorders>
            <w:noWrap/>
            <w:vAlign w:val="center"/>
          </w:tcPr>
          <w:p w14:paraId="6C6F1DF4">
            <w:pPr>
              <w:keepNext w:val="0"/>
              <w:keepLines w:val="0"/>
              <w:pageBreakBefore w:val="0"/>
              <w:kinsoku/>
              <w:wordWrap/>
              <w:overflowPunct/>
              <w:topLinePunct w:val="0"/>
              <w:autoSpaceDE/>
              <w:autoSpaceDN/>
              <w:bidi w:val="0"/>
              <w:adjustRightInd/>
              <w:snapToGrid/>
              <w:spacing w:line="360" w:lineRule="auto"/>
              <w:jc w:val="center"/>
              <w:rPr>
                <w:rFonts w:hint="eastAsia" w:ascii="黑体" w:hAnsi="黑体" w:eastAsia="黑体" w:cs="黑体"/>
                <w:b/>
                <w:bCs/>
                <w:i w:val="0"/>
                <w:iCs w:val="0"/>
                <w:color w:val="000000"/>
                <w:sz w:val="18"/>
                <w:szCs w:val="18"/>
                <w:highlight w:val="none"/>
                <w:u w:val="none"/>
              </w:rPr>
            </w:pPr>
          </w:p>
        </w:tc>
        <w:tc>
          <w:tcPr>
            <w:tcW w:w="283" w:type="pct"/>
            <w:vMerge w:val="continue"/>
            <w:tcBorders>
              <w:top w:val="single" w:color="000000" w:sz="4" w:space="0"/>
              <w:left w:val="single" w:color="000000" w:sz="4" w:space="0"/>
              <w:bottom w:val="single" w:color="000000" w:sz="4" w:space="0"/>
              <w:right w:val="single" w:color="000000" w:sz="4" w:space="0"/>
            </w:tcBorders>
            <w:noWrap/>
            <w:vAlign w:val="center"/>
          </w:tcPr>
          <w:p w14:paraId="707804A6">
            <w:pPr>
              <w:keepNext w:val="0"/>
              <w:keepLines w:val="0"/>
              <w:pageBreakBefore w:val="0"/>
              <w:kinsoku/>
              <w:wordWrap/>
              <w:overflowPunct/>
              <w:topLinePunct w:val="0"/>
              <w:autoSpaceDE/>
              <w:autoSpaceDN/>
              <w:bidi w:val="0"/>
              <w:adjustRightInd/>
              <w:snapToGrid/>
              <w:spacing w:line="360" w:lineRule="auto"/>
              <w:jc w:val="center"/>
              <w:rPr>
                <w:rFonts w:hint="eastAsia" w:ascii="黑体" w:hAnsi="黑体" w:eastAsia="黑体" w:cs="黑体"/>
                <w:i w:val="0"/>
                <w:iCs w:val="0"/>
                <w:color w:val="000000"/>
                <w:sz w:val="18"/>
                <w:szCs w:val="18"/>
                <w:highlight w:val="none"/>
                <w:u w:val="none"/>
              </w:rPr>
            </w:pPr>
          </w:p>
        </w:tc>
        <w:tc>
          <w:tcPr>
            <w:tcW w:w="3850" w:type="pct"/>
            <w:tcBorders>
              <w:top w:val="single" w:color="000000" w:sz="4" w:space="0"/>
              <w:left w:val="single" w:color="000000" w:sz="4" w:space="0"/>
              <w:bottom w:val="single" w:color="000000" w:sz="4" w:space="0"/>
              <w:right w:val="single" w:color="000000" w:sz="4" w:space="0"/>
            </w:tcBorders>
            <w:noWrap w:val="0"/>
            <w:vAlign w:val="center"/>
          </w:tcPr>
          <w:p w14:paraId="080BE8D9">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1.工作长度50mm，直径1.5mm，直型，耳用。</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2.与患者接触部分的金属材料采用医用不锈钢材料制造，该材料化学成分符合GB/T 3280-2015。</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3.器械表面亚光处理，不得有锋棱、毛刺及明显的碰伤和划痕，其表面粗糙度Ra之值为：不大于0.8μm。</w:t>
            </w:r>
          </w:p>
        </w:tc>
        <w:tc>
          <w:tcPr>
            <w:tcW w:w="200" w:type="pct"/>
            <w:tcBorders>
              <w:top w:val="single" w:color="000000" w:sz="4" w:space="0"/>
              <w:left w:val="single" w:color="000000" w:sz="4" w:space="0"/>
              <w:bottom w:val="single" w:color="000000" w:sz="4" w:space="0"/>
              <w:right w:val="single" w:color="000000" w:sz="4" w:space="0"/>
            </w:tcBorders>
            <w:noWrap w:val="0"/>
            <w:vAlign w:val="center"/>
          </w:tcPr>
          <w:p w14:paraId="75C95A0C">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2</w:t>
            </w:r>
          </w:p>
        </w:tc>
        <w:tc>
          <w:tcPr>
            <w:tcW w:w="266" w:type="pct"/>
            <w:tcBorders>
              <w:top w:val="single" w:color="000000" w:sz="4" w:space="0"/>
              <w:left w:val="single" w:color="000000" w:sz="4" w:space="0"/>
              <w:bottom w:val="single" w:color="000000" w:sz="4" w:space="0"/>
              <w:right w:val="single" w:color="000000" w:sz="4" w:space="0"/>
            </w:tcBorders>
            <w:noWrap w:val="0"/>
            <w:vAlign w:val="center"/>
          </w:tcPr>
          <w:p w14:paraId="443EB072">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把</w:t>
            </w:r>
          </w:p>
        </w:tc>
      </w:tr>
      <w:tr w14:paraId="620FE3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98" w:hRule="atLeast"/>
        </w:trPr>
        <w:tc>
          <w:tcPr>
            <w:tcW w:w="400" w:type="pct"/>
            <w:vMerge w:val="continue"/>
            <w:tcBorders>
              <w:top w:val="single" w:color="000000" w:sz="4" w:space="0"/>
              <w:left w:val="single" w:color="000000" w:sz="4" w:space="0"/>
              <w:bottom w:val="single" w:color="000000" w:sz="4" w:space="0"/>
              <w:right w:val="single" w:color="000000" w:sz="4" w:space="0"/>
            </w:tcBorders>
            <w:noWrap/>
            <w:vAlign w:val="center"/>
          </w:tcPr>
          <w:p w14:paraId="7C912FE3">
            <w:pPr>
              <w:keepNext w:val="0"/>
              <w:keepLines w:val="0"/>
              <w:pageBreakBefore w:val="0"/>
              <w:kinsoku/>
              <w:wordWrap/>
              <w:overflowPunct/>
              <w:topLinePunct w:val="0"/>
              <w:autoSpaceDE/>
              <w:autoSpaceDN/>
              <w:bidi w:val="0"/>
              <w:adjustRightInd/>
              <w:snapToGrid/>
              <w:spacing w:line="360" w:lineRule="auto"/>
              <w:jc w:val="center"/>
              <w:rPr>
                <w:rFonts w:hint="eastAsia" w:ascii="黑体" w:hAnsi="黑体" w:eastAsia="黑体" w:cs="黑体"/>
                <w:b/>
                <w:bCs/>
                <w:i w:val="0"/>
                <w:iCs w:val="0"/>
                <w:color w:val="000000"/>
                <w:sz w:val="18"/>
                <w:szCs w:val="18"/>
                <w:highlight w:val="none"/>
                <w:u w:val="none"/>
              </w:rPr>
            </w:pPr>
          </w:p>
        </w:tc>
        <w:tc>
          <w:tcPr>
            <w:tcW w:w="283" w:type="pct"/>
            <w:vMerge w:val="continue"/>
            <w:tcBorders>
              <w:top w:val="single" w:color="000000" w:sz="4" w:space="0"/>
              <w:left w:val="single" w:color="000000" w:sz="4" w:space="0"/>
              <w:bottom w:val="single" w:color="000000" w:sz="4" w:space="0"/>
              <w:right w:val="single" w:color="000000" w:sz="4" w:space="0"/>
            </w:tcBorders>
            <w:noWrap/>
            <w:vAlign w:val="center"/>
          </w:tcPr>
          <w:p w14:paraId="1F040C53">
            <w:pPr>
              <w:keepNext w:val="0"/>
              <w:keepLines w:val="0"/>
              <w:pageBreakBefore w:val="0"/>
              <w:kinsoku/>
              <w:wordWrap/>
              <w:overflowPunct/>
              <w:topLinePunct w:val="0"/>
              <w:autoSpaceDE/>
              <w:autoSpaceDN/>
              <w:bidi w:val="0"/>
              <w:adjustRightInd/>
              <w:snapToGrid/>
              <w:spacing w:line="360" w:lineRule="auto"/>
              <w:jc w:val="center"/>
              <w:rPr>
                <w:rFonts w:hint="eastAsia" w:ascii="黑体" w:hAnsi="黑体" w:eastAsia="黑体" w:cs="黑体"/>
                <w:i w:val="0"/>
                <w:iCs w:val="0"/>
                <w:color w:val="000000"/>
                <w:sz w:val="18"/>
                <w:szCs w:val="18"/>
                <w:highlight w:val="none"/>
                <w:u w:val="none"/>
              </w:rPr>
            </w:pPr>
          </w:p>
        </w:tc>
        <w:tc>
          <w:tcPr>
            <w:tcW w:w="3850" w:type="pct"/>
            <w:tcBorders>
              <w:top w:val="single" w:color="000000" w:sz="4" w:space="0"/>
              <w:left w:val="single" w:color="000000" w:sz="4" w:space="0"/>
              <w:bottom w:val="single" w:color="000000" w:sz="4" w:space="0"/>
              <w:right w:val="single" w:color="000000" w:sz="4" w:space="0"/>
            </w:tcBorders>
            <w:noWrap w:val="0"/>
            <w:vAlign w:val="center"/>
          </w:tcPr>
          <w:p w14:paraId="66F196FD">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1.总体长度80mm，直头，安装型。</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2.与患者接触部分的金属材料采用医用不锈钢材料制造，该材料化学成分符合GB/T 3280-2015，应经热处理，热处理硬度为40-48HRC。</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3.器械表面电镀处理，不得有锋棱、毛刺及明显的碰伤和划痕，其表面粗糙度Ra之值为：不大于0.4μm。</w:t>
            </w:r>
          </w:p>
        </w:tc>
        <w:tc>
          <w:tcPr>
            <w:tcW w:w="200" w:type="pct"/>
            <w:tcBorders>
              <w:top w:val="single" w:color="000000" w:sz="4" w:space="0"/>
              <w:left w:val="single" w:color="000000" w:sz="4" w:space="0"/>
              <w:bottom w:val="single" w:color="000000" w:sz="4" w:space="0"/>
              <w:right w:val="single" w:color="000000" w:sz="4" w:space="0"/>
            </w:tcBorders>
            <w:noWrap w:val="0"/>
            <w:vAlign w:val="center"/>
          </w:tcPr>
          <w:p w14:paraId="156A82AC">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1</w:t>
            </w:r>
          </w:p>
        </w:tc>
        <w:tc>
          <w:tcPr>
            <w:tcW w:w="266" w:type="pct"/>
            <w:tcBorders>
              <w:top w:val="single" w:color="000000" w:sz="4" w:space="0"/>
              <w:left w:val="single" w:color="000000" w:sz="4" w:space="0"/>
              <w:bottom w:val="single" w:color="000000" w:sz="4" w:space="0"/>
              <w:right w:val="single" w:color="000000" w:sz="4" w:space="0"/>
            </w:tcBorders>
            <w:noWrap w:val="0"/>
            <w:vAlign w:val="center"/>
          </w:tcPr>
          <w:p w14:paraId="36D22D22">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把</w:t>
            </w:r>
          </w:p>
        </w:tc>
      </w:tr>
      <w:tr w14:paraId="3E35DA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00" w:hRule="atLeast"/>
        </w:trPr>
        <w:tc>
          <w:tcPr>
            <w:tcW w:w="400" w:type="pct"/>
            <w:vMerge w:val="continue"/>
            <w:tcBorders>
              <w:top w:val="single" w:color="000000" w:sz="4" w:space="0"/>
              <w:left w:val="single" w:color="000000" w:sz="4" w:space="0"/>
              <w:bottom w:val="single" w:color="000000" w:sz="4" w:space="0"/>
              <w:right w:val="single" w:color="000000" w:sz="4" w:space="0"/>
            </w:tcBorders>
            <w:noWrap/>
            <w:vAlign w:val="center"/>
          </w:tcPr>
          <w:p w14:paraId="19620F1E">
            <w:pPr>
              <w:keepNext w:val="0"/>
              <w:keepLines w:val="0"/>
              <w:pageBreakBefore w:val="0"/>
              <w:kinsoku/>
              <w:wordWrap/>
              <w:overflowPunct/>
              <w:topLinePunct w:val="0"/>
              <w:autoSpaceDE/>
              <w:autoSpaceDN/>
              <w:bidi w:val="0"/>
              <w:adjustRightInd/>
              <w:snapToGrid/>
              <w:spacing w:line="360" w:lineRule="auto"/>
              <w:jc w:val="center"/>
              <w:rPr>
                <w:rFonts w:hint="eastAsia" w:ascii="黑体" w:hAnsi="黑体" w:eastAsia="黑体" w:cs="黑体"/>
                <w:b/>
                <w:bCs/>
                <w:i w:val="0"/>
                <w:iCs w:val="0"/>
                <w:color w:val="000000"/>
                <w:sz w:val="18"/>
                <w:szCs w:val="18"/>
                <w:highlight w:val="none"/>
                <w:u w:val="none"/>
              </w:rPr>
            </w:pPr>
          </w:p>
        </w:tc>
        <w:tc>
          <w:tcPr>
            <w:tcW w:w="283" w:type="pct"/>
            <w:vMerge w:val="continue"/>
            <w:tcBorders>
              <w:top w:val="single" w:color="000000" w:sz="4" w:space="0"/>
              <w:left w:val="single" w:color="000000" w:sz="4" w:space="0"/>
              <w:bottom w:val="single" w:color="000000" w:sz="4" w:space="0"/>
              <w:right w:val="single" w:color="000000" w:sz="4" w:space="0"/>
            </w:tcBorders>
            <w:noWrap/>
            <w:vAlign w:val="center"/>
          </w:tcPr>
          <w:p w14:paraId="1B1138C8">
            <w:pPr>
              <w:keepNext w:val="0"/>
              <w:keepLines w:val="0"/>
              <w:pageBreakBefore w:val="0"/>
              <w:kinsoku/>
              <w:wordWrap/>
              <w:overflowPunct/>
              <w:topLinePunct w:val="0"/>
              <w:autoSpaceDE/>
              <w:autoSpaceDN/>
              <w:bidi w:val="0"/>
              <w:adjustRightInd/>
              <w:snapToGrid/>
              <w:spacing w:line="360" w:lineRule="auto"/>
              <w:jc w:val="center"/>
              <w:rPr>
                <w:rFonts w:hint="eastAsia" w:ascii="黑体" w:hAnsi="黑体" w:eastAsia="黑体" w:cs="黑体"/>
                <w:i w:val="0"/>
                <w:iCs w:val="0"/>
                <w:color w:val="000000"/>
                <w:sz w:val="18"/>
                <w:szCs w:val="18"/>
                <w:highlight w:val="none"/>
                <w:u w:val="none"/>
              </w:rPr>
            </w:pPr>
          </w:p>
        </w:tc>
        <w:tc>
          <w:tcPr>
            <w:tcW w:w="3850" w:type="pct"/>
            <w:tcBorders>
              <w:top w:val="single" w:color="000000" w:sz="4" w:space="0"/>
              <w:left w:val="single" w:color="000000" w:sz="4" w:space="0"/>
              <w:bottom w:val="single" w:color="000000" w:sz="4" w:space="0"/>
              <w:right w:val="single" w:color="000000" w:sz="4" w:space="0"/>
            </w:tcBorders>
            <w:noWrap w:val="0"/>
            <w:vAlign w:val="center"/>
          </w:tcPr>
          <w:p w14:paraId="0E89EEAF">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1.总体长度80mm，直头，碗形。</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2.与患者接触部分的金属材料采用医用不锈钢材料制造，该材料化学成分符合GB/T 3280-2015，应经热处理，热处理硬度为40-48HRC。</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3.器械表面电镀处理，不得有锋棱、毛刺及明显的碰伤和划痕，其表面粗糙度Ra之值为：不大于0.4μm。</w:t>
            </w:r>
          </w:p>
        </w:tc>
        <w:tc>
          <w:tcPr>
            <w:tcW w:w="200" w:type="pct"/>
            <w:tcBorders>
              <w:top w:val="single" w:color="000000" w:sz="4" w:space="0"/>
              <w:left w:val="single" w:color="000000" w:sz="4" w:space="0"/>
              <w:bottom w:val="single" w:color="000000" w:sz="4" w:space="0"/>
              <w:right w:val="single" w:color="000000" w:sz="4" w:space="0"/>
            </w:tcBorders>
            <w:noWrap w:val="0"/>
            <w:vAlign w:val="center"/>
          </w:tcPr>
          <w:p w14:paraId="7197A594">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2</w:t>
            </w:r>
          </w:p>
        </w:tc>
        <w:tc>
          <w:tcPr>
            <w:tcW w:w="266" w:type="pct"/>
            <w:tcBorders>
              <w:top w:val="single" w:color="000000" w:sz="4" w:space="0"/>
              <w:left w:val="single" w:color="000000" w:sz="4" w:space="0"/>
              <w:bottom w:val="single" w:color="000000" w:sz="4" w:space="0"/>
              <w:right w:val="single" w:color="000000" w:sz="4" w:space="0"/>
            </w:tcBorders>
            <w:noWrap w:val="0"/>
            <w:vAlign w:val="center"/>
          </w:tcPr>
          <w:p w14:paraId="73930345">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把</w:t>
            </w:r>
          </w:p>
        </w:tc>
      </w:tr>
      <w:tr w14:paraId="401056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98" w:hRule="atLeast"/>
        </w:trPr>
        <w:tc>
          <w:tcPr>
            <w:tcW w:w="400" w:type="pct"/>
            <w:vMerge w:val="continue"/>
            <w:tcBorders>
              <w:top w:val="single" w:color="000000" w:sz="4" w:space="0"/>
              <w:left w:val="single" w:color="000000" w:sz="4" w:space="0"/>
              <w:bottom w:val="single" w:color="000000" w:sz="4" w:space="0"/>
              <w:right w:val="single" w:color="000000" w:sz="4" w:space="0"/>
            </w:tcBorders>
            <w:noWrap/>
            <w:vAlign w:val="center"/>
          </w:tcPr>
          <w:p w14:paraId="6DB358C8">
            <w:pPr>
              <w:keepNext w:val="0"/>
              <w:keepLines w:val="0"/>
              <w:pageBreakBefore w:val="0"/>
              <w:kinsoku/>
              <w:wordWrap/>
              <w:overflowPunct/>
              <w:topLinePunct w:val="0"/>
              <w:autoSpaceDE/>
              <w:autoSpaceDN/>
              <w:bidi w:val="0"/>
              <w:adjustRightInd/>
              <w:snapToGrid/>
              <w:spacing w:line="360" w:lineRule="auto"/>
              <w:jc w:val="center"/>
              <w:rPr>
                <w:rFonts w:hint="eastAsia" w:ascii="黑体" w:hAnsi="黑体" w:eastAsia="黑体" w:cs="黑体"/>
                <w:b/>
                <w:bCs/>
                <w:i w:val="0"/>
                <w:iCs w:val="0"/>
                <w:color w:val="000000"/>
                <w:sz w:val="18"/>
                <w:szCs w:val="18"/>
                <w:highlight w:val="none"/>
                <w:u w:val="none"/>
              </w:rPr>
            </w:pPr>
          </w:p>
        </w:tc>
        <w:tc>
          <w:tcPr>
            <w:tcW w:w="283" w:type="pct"/>
            <w:vMerge w:val="continue"/>
            <w:tcBorders>
              <w:top w:val="single" w:color="000000" w:sz="4" w:space="0"/>
              <w:left w:val="single" w:color="000000" w:sz="4" w:space="0"/>
              <w:bottom w:val="single" w:color="000000" w:sz="4" w:space="0"/>
              <w:right w:val="single" w:color="000000" w:sz="4" w:space="0"/>
            </w:tcBorders>
            <w:noWrap/>
            <w:vAlign w:val="center"/>
          </w:tcPr>
          <w:p w14:paraId="3DC5B4EE">
            <w:pPr>
              <w:keepNext w:val="0"/>
              <w:keepLines w:val="0"/>
              <w:pageBreakBefore w:val="0"/>
              <w:kinsoku/>
              <w:wordWrap/>
              <w:overflowPunct/>
              <w:topLinePunct w:val="0"/>
              <w:autoSpaceDE/>
              <w:autoSpaceDN/>
              <w:bidi w:val="0"/>
              <w:adjustRightInd/>
              <w:snapToGrid/>
              <w:spacing w:line="360" w:lineRule="auto"/>
              <w:jc w:val="center"/>
              <w:rPr>
                <w:rFonts w:hint="eastAsia" w:ascii="黑体" w:hAnsi="黑体" w:eastAsia="黑体" w:cs="黑体"/>
                <w:i w:val="0"/>
                <w:iCs w:val="0"/>
                <w:color w:val="000000"/>
                <w:sz w:val="18"/>
                <w:szCs w:val="18"/>
                <w:highlight w:val="none"/>
                <w:u w:val="none"/>
              </w:rPr>
            </w:pPr>
          </w:p>
        </w:tc>
        <w:tc>
          <w:tcPr>
            <w:tcW w:w="3850" w:type="pct"/>
            <w:tcBorders>
              <w:top w:val="single" w:color="000000" w:sz="4" w:space="0"/>
              <w:left w:val="single" w:color="000000" w:sz="4" w:space="0"/>
              <w:bottom w:val="single" w:color="000000" w:sz="4" w:space="0"/>
              <w:right w:val="single" w:color="000000" w:sz="4" w:space="0"/>
            </w:tcBorders>
            <w:noWrap w:val="0"/>
            <w:vAlign w:val="center"/>
          </w:tcPr>
          <w:p w14:paraId="2130E2D2">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1.总体长度80mm，直头，橄榄形。</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2.与患者接触部分的金属材料采用医用不锈钢材料制造，该材料化学成分符合GB/T 3280-2015，应经热处理，热处理硬度为40-48HRC。</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3.器械表面电镀处理，不得有锋棱、毛刺及明显的碰伤和划痕，其表面粗糙度Ra之值为：不大于0.4μm。</w:t>
            </w:r>
          </w:p>
        </w:tc>
        <w:tc>
          <w:tcPr>
            <w:tcW w:w="200" w:type="pct"/>
            <w:tcBorders>
              <w:top w:val="single" w:color="000000" w:sz="4" w:space="0"/>
              <w:left w:val="single" w:color="000000" w:sz="4" w:space="0"/>
              <w:bottom w:val="single" w:color="000000" w:sz="4" w:space="0"/>
              <w:right w:val="single" w:color="000000" w:sz="4" w:space="0"/>
            </w:tcBorders>
            <w:noWrap w:val="0"/>
            <w:vAlign w:val="center"/>
          </w:tcPr>
          <w:p w14:paraId="03391A71">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2</w:t>
            </w:r>
          </w:p>
        </w:tc>
        <w:tc>
          <w:tcPr>
            <w:tcW w:w="266" w:type="pct"/>
            <w:tcBorders>
              <w:top w:val="single" w:color="000000" w:sz="4" w:space="0"/>
              <w:left w:val="single" w:color="000000" w:sz="4" w:space="0"/>
              <w:bottom w:val="single" w:color="000000" w:sz="4" w:space="0"/>
              <w:right w:val="single" w:color="000000" w:sz="4" w:space="0"/>
            </w:tcBorders>
            <w:noWrap w:val="0"/>
            <w:vAlign w:val="center"/>
          </w:tcPr>
          <w:p w14:paraId="068EA7BC">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把</w:t>
            </w:r>
          </w:p>
        </w:tc>
      </w:tr>
      <w:tr w14:paraId="00B356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98" w:hRule="atLeast"/>
        </w:trPr>
        <w:tc>
          <w:tcPr>
            <w:tcW w:w="400" w:type="pct"/>
            <w:vMerge w:val="continue"/>
            <w:tcBorders>
              <w:top w:val="single" w:color="000000" w:sz="4" w:space="0"/>
              <w:left w:val="single" w:color="000000" w:sz="4" w:space="0"/>
              <w:bottom w:val="single" w:color="000000" w:sz="4" w:space="0"/>
              <w:right w:val="single" w:color="000000" w:sz="4" w:space="0"/>
            </w:tcBorders>
            <w:noWrap/>
            <w:vAlign w:val="center"/>
          </w:tcPr>
          <w:p w14:paraId="1FE266A8">
            <w:pPr>
              <w:keepNext w:val="0"/>
              <w:keepLines w:val="0"/>
              <w:pageBreakBefore w:val="0"/>
              <w:kinsoku/>
              <w:wordWrap/>
              <w:overflowPunct/>
              <w:topLinePunct w:val="0"/>
              <w:autoSpaceDE/>
              <w:autoSpaceDN/>
              <w:bidi w:val="0"/>
              <w:adjustRightInd/>
              <w:snapToGrid/>
              <w:spacing w:line="360" w:lineRule="auto"/>
              <w:jc w:val="center"/>
              <w:rPr>
                <w:rFonts w:hint="eastAsia" w:ascii="黑体" w:hAnsi="黑体" w:eastAsia="黑体" w:cs="黑体"/>
                <w:b/>
                <w:bCs/>
                <w:i w:val="0"/>
                <w:iCs w:val="0"/>
                <w:color w:val="000000"/>
                <w:sz w:val="18"/>
                <w:szCs w:val="18"/>
                <w:highlight w:val="none"/>
                <w:u w:val="none"/>
              </w:rPr>
            </w:pPr>
          </w:p>
        </w:tc>
        <w:tc>
          <w:tcPr>
            <w:tcW w:w="283" w:type="pct"/>
            <w:vMerge w:val="continue"/>
            <w:tcBorders>
              <w:top w:val="single" w:color="000000" w:sz="4" w:space="0"/>
              <w:left w:val="single" w:color="000000" w:sz="4" w:space="0"/>
              <w:bottom w:val="single" w:color="000000" w:sz="4" w:space="0"/>
              <w:right w:val="single" w:color="000000" w:sz="4" w:space="0"/>
            </w:tcBorders>
            <w:noWrap/>
            <w:vAlign w:val="center"/>
          </w:tcPr>
          <w:p w14:paraId="77CE6407">
            <w:pPr>
              <w:keepNext w:val="0"/>
              <w:keepLines w:val="0"/>
              <w:pageBreakBefore w:val="0"/>
              <w:kinsoku/>
              <w:wordWrap/>
              <w:overflowPunct/>
              <w:topLinePunct w:val="0"/>
              <w:autoSpaceDE/>
              <w:autoSpaceDN/>
              <w:bidi w:val="0"/>
              <w:adjustRightInd/>
              <w:snapToGrid/>
              <w:spacing w:line="360" w:lineRule="auto"/>
              <w:jc w:val="center"/>
              <w:rPr>
                <w:rFonts w:hint="eastAsia" w:ascii="黑体" w:hAnsi="黑体" w:eastAsia="黑体" w:cs="黑体"/>
                <w:i w:val="0"/>
                <w:iCs w:val="0"/>
                <w:color w:val="000000"/>
                <w:sz w:val="18"/>
                <w:szCs w:val="18"/>
                <w:highlight w:val="none"/>
                <w:u w:val="none"/>
              </w:rPr>
            </w:pPr>
          </w:p>
        </w:tc>
        <w:tc>
          <w:tcPr>
            <w:tcW w:w="3850" w:type="pct"/>
            <w:tcBorders>
              <w:top w:val="single" w:color="000000" w:sz="4" w:space="0"/>
              <w:left w:val="single" w:color="000000" w:sz="4" w:space="0"/>
              <w:bottom w:val="single" w:color="000000" w:sz="4" w:space="0"/>
              <w:right w:val="single" w:color="000000" w:sz="4" w:space="0"/>
            </w:tcBorders>
            <w:noWrap w:val="0"/>
            <w:vAlign w:val="center"/>
          </w:tcPr>
          <w:p w14:paraId="6B27EF66">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1.总体长度160mm，头宽2.2mm，直型，耳切口。</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2.与患者接触部分的金属材料采用医用不锈钢材料制造，该材料化学成分符合GB/T 3280-2015，应经热处理，热处理硬度为40-48HRC。</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3.器械表面电镀处理，不得有锋棱、毛刺及明显的碰伤和划痕，其表面粗糙度Ra之值为：不大于0.4μm。</w:t>
            </w:r>
          </w:p>
        </w:tc>
        <w:tc>
          <w:tcPr>
            <w:tcW w:w="200" w:type="pct"/>
            <w:tcBorders>
              <w:top w:val="single" w:color="000000" w:sz="4" w:space="0"/>
              <w:left w:val="single" w:color="000000" w:sz="4" w:space="0"/>
              <w:bottom w:val="single" w:color="000000" w:sz="4" w:space="0"/>
              <w:right w:val="single" w:color="000000" w:sz="4" w:space="0"/>
            </w:tcBorders>
            <w:noWrap w:val="0"/>
            <w:vAlign w:val="center"/>
          </w:tcPr>
          <w:p w14:paraId="2228469B">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1</w:t>
            </w:r>
          </w:p>
        </w:tc>
        <w:tc>
          <w:tcPr>
            <w:tcW w:w="266" w:type="pct"/>
            <w:tcBorders>
              <w:top w:val="single" w:color="000000" w:sz="4" w:space="0"/>
              <w:left w:val="single" w:color="000000" w:sz="4" w:space="0"/>
              <w:bottom w:val="single" w:color="000000" w:sz="4" w:space="0"/>
              <w:right w:val="single" w:color="000000" w:sz="4" w:space="0"/>
            </w:tcBorders>
            <w:noWrap w:val="0"/>
            <w:vAlign w:val="center"/>
          </w:tcPr>
          <w:p w14:paraId="13EC742C">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把</w:t>
            </w:r>
          </w:p>
        </w:tc>
      </w:tr>
      <w:tr w14:paraId="241E77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98" w:hRule="atLeast"/>
        </w:trPr>
        <w:tc>
          <w:tcPr>
            <w:tcW w:w="400" w:type="pct"/>
            <w:vMerge w:val="continue"/>
            <w:tcBorders>
              <w:top w:val="single" w:color="000000" w:sz="4" w:space="0"/>
              <w:left w:val="single" w:color="000000" w:sz="4" w:space="0"/>
              <w:bottom w:val="single" w:color="000000" w:sz="4" w:space="0"/>
              <w:right w:val="single" w:color="000000" w:sz="4" w:space="0"/>
            </w:tcBorders>
            <w:noWrap/>
            <w:vAlign w:val="center"/>
          </w:tcPr>
          <w:p w14:paraId="1BA93C1E">
            <w:pPr>
              <w:keepNext w:val="0"/>
              <w:keepLines w:val="0"/>
              <w:pageBreakBefore w:val="0"/>
              <w:kinsoku/>
              <w:wordWrap/>
              <w:overflowPunct/>
              <w:topLinePunct w:val="0"/>
              <w:autoSpaceDE/>
              <w:autoSpaceDN/>
              <w:bidi w:val="0"/>
              <w:adjustRightInd/>
              <w:snapToGrid/>
              <w:spacing w:line="360" w:lineRule="auto"/>
              <w:jc w:val="center"/>
              <w:rPr>
                <w:rFonts w:hint="eastAsia" w:ascii="黑体" w:hAnsi="黑体" w:eastAsia="黑体" w:cs="黑体"/>
                <w:b/>
                <w:bCs/>
                <w:i w:val="0"/>
                <w:iCs w:val="0"/>
                <w:color w:val="000000"/>
                <w:sz w:val="18"/>
                <w:szCs w:val="18"/>
                <w:highlight w:val="none"/>
                <w:u w:val="none"/>
              </w:rPr>
            </w:pPr>
          </w:p>
        </w:tc>
        <w:tc>
          <w:tcPr>
            <w:tcW w:w="283" w:type="pct"/>
            <w:vMerge w:val="continue"/>
            <w:tcBorders>
              <w:top w:val="single" w:color="000000" w:sz="4" w:space="0"/>
              <w:left w:val="single" w:color="000000" w:sz="4" w:space="0"/>
              <w:bottom w:val="single" w:color="000000" w:sz="4" w:space="0"/>
              <w:right w:val="single" w:color="000000" w:sz="4" w:space="0"/>
            </w:tcBorders>
            <w:noWrap/>
            <w:vAlign w:val="center"/>
          </w:tcPr>
          <w:p w14:paraId="06118E1D">
            <w:pPr>
              <w:keepNext w:val="0"/>
              <w:keepLines w:val="0"/>
              <w:pageBreakBefore w:val="0"/>
              <w:kinsoku/>
              <w:wordWrap/>
              <w:overflowPunct/>
              <w:topLinePunct w:val="0"/>
              <w:autoSpaceDE/>
              <w:autoSpaceDN/>
              <w:bidi w:val="0"/>
              <w:adjustRightInd/>
              <w:snapToGrid/>
              <w:spacing w:line="360" w:lineRule="auto"/>
              <w:jc w:val="center"/>
              <w:rPr>
                <w:rFonts w:hint="eastAsia" w:ascii="黑体" w:hAnsi="黑体" w:eastAsia="黑体" w:cs="黑体"/>
                <w:i w:val="0"/>
                <w:iCs w:val="0"/>
                <w:color w:val="000000"/>
                <w:sz w:val="18"/>
                <w:szCs w:val="18"/>
                <w:highlight w:val="none"/>
                <w:u w:val="none"/>
              </w:rPr>
            </w:pPr>
          </w:p>
        </w:tc>
        <w:tc>
          <w:tcPr>
            <w:tcW w:w="3850" w:type="pct"/>
            <w:tcBorders>
              <w:top w:val="single" w:color="000000" w:sz="4" w:space="0"/>
              <w:left w:val="single" w:color="000000" w:sz="4" w:space="0"/>
              <w:bottom w:val="single" w:color="000000" w:sz="4" w:space="0"/>
              <w:right w:val="single" w:color="000000" w:sz="4" w:space="0"/>
            </w:tcBorders>
            <w:noWrap w:val="0"/>
            <w:vAlign w:val="center"/>
          </w:tcPr>
          <w:p w14:paraId="2DED2AE2">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1.总长160mm，双头，一端头部直径1mm，另一端头部1.2mm,微弯，椭圆头。</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2.与患者接触部分的金属材料采用医用不锈钢材料制造，该材料化学成分符合GB/T 3280-2015，应经热处理，其硬度为40HRC-48HRC。</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3.器械表面电镀处理，不得有锋棱、毛刺及明显的碰伤和划痕，其表面粗糙度Ra之值为：不大于0.4μm。</w:t>
            </w:r>
          </w:p>
        </w:tc>
        <w:tc>
          <w:tcPr>
            <w:tcW w:w="200" w:type="pct"/>
            <w:tcBorders>
              <w:top w:val="single" w:color="000000" w:sz="4" w:space="0"/>
              <w:left w:val="single" w:color="000000" w:sz="4" w:space="0"/>
              <w:bottom w:val="single" w:color="000000" w:sz="4" w:space="0"/>
              <w:right w:val="single" w:color="000000" w:sz="4" w:space="0"/>
            </w:tcBorders>
            <w:noWrap w:val="0"/>
            <w:vAlign w:val="center"/>
          </w:tcPr>
          <w:p w14:paraId="31BF4BC1">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1</w:t>
            </w:r>
          </w:p>
        </w:tc>
        <w:tc>
          <w:tcPr>
            <w:tcW w:w="266" w:type="pct"/>
            <w:tcBorders>
              <w:top w:val="single" w:color="000000" w:sz="4" w:space="0"/>
              <w:left w:val="single" w:color="000000" w:sz="4" w:space="0"/>
              <w:bottom w:val="single" w:color="000000" w:sz="4" w:space="0"/>
              <w:right w:val="single" w:color="000000" w:sz="4" w:space="0"/>
            </w:tcBorders>
            <w:noWrap w:val="0"/>
            <w:vAlign w:val="center"/>
          </w:tcPr>
          <w:p w14:paraId="2CF0E354">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把</w:t>
            </w:r>
          </w:p>
        </w:tc>
      </w:tr>
      <w:tr w14:paraId="069CE2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400" w:type="pct"/>
            <w:vMerge w:val="continue"/>
            <w:tcBorders>
              <w:top w:val="single" w:color="000000" w:sz="4" w:space="0"/>
              <w:left w:val="single" w:color="000000" w:sz="4" w:space="0"/>
              <w:bottom w:val="single" w:color="000000" w:sz="4" w:space="0"/>
              <w:right w:val="single" w:color="000000" w:sz="4" w:space="0"/>
            </w:tcBorders>
            <w:noWrap/>
            <w:vAlign w:val="center"/>
          </w:tcPr>
          <w:p w14:paraId="020D952C">
            <w:pPr>
              <w:keepNext w:val="0"/>
              <w:keepLines w:val="0"/>
              <w:pageBreakBefore w:val="0"/>
              <w:kinsoku/>
              <w:wordWrap/>
              <w:overflowPunct/>
              <w:topLinePunct w:val="0"/>
              <w:autoSpaceDE/>
              <w:autoSpaceDN/>
              <w:bidi w:val="0"/>
              <w:adjustRightInd/>
              <w:snapToGrid/>
              <w:spacing w:line="360" w:lineRule="auto"/>
              <w:jc w:val="center"/>
              <w:rPr>
                <w:rFonts w:hint="eastAsia" w:ascii="黑体" w:hAnsi="黑体" w:eastAsia="黑体" w:cs="黑体"/>
                <w:b/>
                <w:bCs/>
                <w:i w:val="0"/>
                <w:iCs w:val="0"/>
                <w:color w:val="000000"/>
                <w:sz w:val="18"/>
                <w:szCs w:val="18"/>
                <w:highlight w:val="none"/>
                <w:u w:val="none"/>
              </w:rPr>
            </w:pPr>
          </w:p>
        </w:tc>
        <w:tc>
          <w:tcPr>
            <w:tcW w:w="283" w:type="pct"/>
            <w:vMerge w:val="continue"/>
            <w:tcBorders>
              <w:top w:val="single" w:color="000000" w:sz="4" w:space="0"/>
              <w:left w:val="single" w:color="000000" w:sz="4" w:space="0"/>
              <w:bottom w:val="single" w:color="000000" w:sz="4" w:space="0"/>
              <w:right w:val="single" w:color="000000" w:sz="4" w:space="0"/>
            </w:tcBorders>
            <w:noWrap/>
            <w:vAlign w:val="center"/>
          </w:tcPr>
          <w:p w14:paraId="04E9439F">
            <w:pPr>
              <w:keepNext w:val="0"/>
              <w:keepLines w:val="0"/>
              <w:pageBreakBefore w:val="0"/>
              <w:kinsoku/>
              <w:wordWrap/>
              <w:overflowPunct/>
              <w:topLinePunct w:val="0"/>
              <w:autoSpaceDE/>
              <w:autoSpaceDN/>
              <w:bidi w:val="0"/>
              <w:adjustRightInd/>
              <w:snapToGrid/>
              <w:spacing w:line="360" w:lineRule="auto"/>
              <w:jc w:val="center"/>
              <w:rPr>
                <w:rFonts w:hint="eastAsia" w:ascii="黑体" w:hAnsi="黑体" w:eastAsia="黑体" w:cs="黑体"/>
                <w:i w:val="0"/>
                <w:iCs w:val="0"/>
                <w:color w:val="000000"/>
                <w:sz w:val="18"/>
                <w:szCs w:val="18"/>
                <w:highlight w:val="none"/>
                <w:u w:val="none"/>
              </w:rPr>
            </w:pPr>
          </w:p>
        </w:tc>
        <w:tc>
          <w:tcPr>
            <w:tcW w:w="3850" w:type="pct"/>
            <w:tcBorders>
              <w:top w:val="single" w:color="000000" w:sz="4" w:space="0"/>
              <w:left w:val="single" w:color="000000" w:sz="4" w:space="0"/>
              <w:bottom w:val="single" w:color="000000" w:sz="4" w:space="0"/>
              <w:right w:val="single" w:color="000000" w:sz="4" w:space="0"/>
            </w:tcBorders>
            <w:noWrap w:val="0"/>
            <w:vAlign w:val="center"/>
          </w:tcPr>
          <w:p w14:paraId="599EDA15">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1.总长160mm，双头，一端头部直径1.5mm，另一端头部1.8mm,微弯，椭圆头。</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2.与患者接触部分的金属材料采用医用不锈钢材料制造，该材料化学成分符合GB/T 3280-2015，应经热处理，其硬度为40HRC-48HRC。</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3.器械表面电镀处理，不得有锋棱、毛刺及明显的碰伤和划痕，其表面粗糙度Ra之值为：不大于0.4μm。</w:t>
            </w:r>
          </w:p>
        </w:tc>
        <w:tc>
          <w:tcPr>
            <w:tcW w:w="200" w:type="pct"/>
            <w:tcBorders>
              <w:top w:val="single" w:color="000000" w:sz="4" w:space="0"/>
              <w:left w:val="single" w:color="000000" w:sz="4" w:space="0"/>
              <w:bottom w:val="single" w:color="000000" w:sz="4" w:space="0"/>
              <w:right w:val="single" w:color="000000" w:sz="4" w:space="0"/>
            </w:tcBorders>
            <w:noWrap w:val="0"/>
            <w:vAlign w:val="center"/>
          </w:tcPr>
          <w:p w14:paraId="5C830E75">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1</w:t>
            </w:r>
          </w:p>
        </w:tc>
        <w:tc>
          <w:tcPr>
            <w:tcW w:w="266" w:type="pct"/>
            <w:tcBorders>
              <w:top w:val="single" w:color="000000" w:sz="4" w:space="0"/>
              <w:left w:val="single" w:color="000000" w:sz="4" w:space="0"/>
              <w:bottom w:val="single" w:color="000000" w:sz="4" w:space="0"/>
              <w:right w:val="single" w:color="000000" w:sz="4" w:space="0"/>
            </w:tcBorders>
            <w:noWrap w:val="0"/>
            <w:vAlign w:val="center"/>
          </w:tcPr>
          <w:p w14:paraId="0EA41DF5">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把</w:t>
            </w:r>
          </w:p>
        </w:tc>
      </w:tr>
      <w:tr w14:paraId="31A747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98" w:hRule="atLeast"/>
        </w:trPr>
        <w:tc>
          <w:tcPr>
            <w:tcW w:w="400" w:type="pct"/>
            <w:vMerge w:val="continue"/>
            <w:tcBorders>
              <w:top w:val="single" w:color="000000" w:sz="4" w:space="0"/>
              <w:left w:val="single" w:color="000000" w:sz="4" w:space="0"/>
              <w:bottom w:val="single" w:color="000000" w:sz="4" w:space="0"/>
              <w:right w:val="single" w:color="000000" w:sz="4" w:space="0"/>
            </w:tcBorders>
            <w:noWrap/>
            <w:vAlign w:val="center"/>
          </w:tcPr>
          <w:p w14:paraId="0CD48B41">
            <w:pPr>
              <w:keepNext w:val="0"/>
              <w:keepLines w:val="0"/>
              <w:pageBreakBefore w:val="0"/>
              <w:kinsoku/>
              <w:wordWrap/>
              <w:overflowPunct/>
              <w:topLinePunct w:val="0"/>
              <w:autoSpaceDE/>
              <w:autoSpaceDN/>
              <w:bidi w:val="0"/>
              <w:adjustRightInd/>
              <w:snapToGrid/>
              <w:spacing w:line="360" w:lineRule="auto"/>
              <w:jc w:val="center"/>
              <w:rPr>
                <w:rFonts w:hint="eastAsia" w:ascii="黑体" w:hAnsi="黑体" w:eastAsia="黑体" w:cs="黑体"/>
                <w:b/>
                <w:bCs/>
                <w:i w:val="0"/>
                <w:iCs w:val="0"/>
                <w:color w:val="000000"/>
                <w:sz w:val="18"/>
                <w:szCs w:val="18"/>
                <w:highlight w:val="none"/>
                <w:u w:val="none"/>
              </w:rPr>
            </w:pPr>
          </w:p>
        </w:tc>
        <w:tc>
          <w:tcPr>
            <w:tcW w:w="283" w:type="pct"/>
            <w:vMerge w:val="restart"/>
            <w:tcBorders>
              <w:top w:val="single" w:color="000000" w:sz="4" w:space="0"/>
              <w:left w:val="single" w:color="000000" w:sz="4" w:space="0"/>
              <w:bottom w:val="single" w:color="000000" w:sz="4" w:space="0"/>
              <w:right w:val="single" w:color="000000" w:sz="4" w:space="0"/>
            </w:tcBorders>
            <w:noWrap/>
            <w:vAlign w:val="center"/>
          </w:tcPr>
          <w:p w14:paraId="47BDA045">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鼻科器械</w:t>
            </w:r>
          </w:p>
        </w:tc>
        <w:tc>
          <w:tcPr>
            <w:tcW w:w="3850" w:type="pct"/>
            <w:tcBorders>
              <w:top w:val="single" w:color="000000" w:sz="4" w:space="0"/>
              <w:left w:val="single" w:color="000000" w:sz="4" w:space="0"/>
              <w:bottom w:val="single" w:color="000000" w:sz="4" w:space="0"/>
              <w:right w:val="single" w:color="000000" w:sz="4" w:space="0"/>
            </w:tcBorders>
            <w:noWrap w:val="0"/>
            <w:vAlign w:val="center"/>
          </w:tcPr>
          <w:p w14:paraId="4D17E054">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1.工作长度120mm，头宽2mm，盖板式，直型，长圆头。</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2.与患者接触部分的金属材料采用医用不锈钢材料制造，该材料化学成分符合GB/T 3280-2015，应经热处理，热处理硬度为48-53HRC。</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3.器械表面亚光处理，不得有锋棱、毛刺及明显的碰伤和划痕，其表面粗糙度Ra之值为：不大于0.8μm。</w:t>
            </w:r>
          </w:p>
        </w:tc>
        <w:tc>
          <w:tcPr>
            <w:tcW w:w="200" w:type="pct"/>
            <w:tcBorders>
              <w:top w:val="single" w:color="000000" w:sz="4" w:space="0"/>
              <w:left w:val="single" w:color="000000" w:sz="4" w:space="0"/>
              <w:bottom w:val="single" w:color="000000" w:sz="4" w:space="0"/>
              <w:right w:val="single" w:color="000000" w:sz="4" w:space="0"/>
            </w:tcBorders>
            <w:noWrap w:val="0"/>
            <w:vAlign w:val="center"/>
          </w:tcPr>
          <w:p w14:paraId="171DDE7D">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2</w:t>
            </w:r>
          </w:p>
        </w:tc>
        <w:tc>
          <w:tcPr>
            <w:tcW w:w="266" w:type="pct"/>
            <w:tcBorders>
              <w:top w:val="single" w:color="000000" w:sz="4" w:space="0"/>
              <w:left w:val="single" w:color="000000" w:sz="4" w:space="0"/>
              <w:bottom w:val="single" w:color="000000" w:sz="4" w:space="0"/>
              <w:right w:val="single" w:color="000000" w:sz="4" w:space="0"/>
            </w:tcBorders>
            <w:noWrap w:val="0"/>
            <w:vAlign w:val="center"/>
          </w:tcPr>
          <w:p w14:paraId="083AA58A">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把</w:t>
            </w:r>
          </w:p>
        </w:tc>
      </w:tr>
      <w:tr w14:paraId="0E62C9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98" w:hRule="atLeast"/>
        </w:trPr>
        <w:tc>
          <w:tcPr>
            <w:tcW w:w="400" w:type="pct"/>
            <w:vMerge w:val="continue"/>
            <w:tcBorders>
              <w:top w:val="single" w:color="000000" w:sz="4" w:space="0"/>
              <w:left w:val="single" w:color="000000" w:sz="4" w:space="0"/>
              <w:bottom w:val="single" w:color="000000" w:sz="4" w:space="0"/>
              <w:right w:val="single" w:color="000000" w:sz="4" w:space="0"/>
            </w:tcBorders>
            <w:noWrap/>
            <w:vAlign w:val="center"/>
          </w:tcPr>
          <w:p w14:paraId="0027C91E">
            <w:pPr>
              <w:keepNext w:val="0"/>
              <w:keepLines w:val="0"/>
              <w:pageBreakBefore w:val="0"/>
              <w:kinsoku/>
              <w:wordWrap/>
              <w:overflowPunct/>
              <w:topLinePunct w:val="0"/>
              <w:autoSpaceDE/>
              <w:autoSpaceDN/>
              <w:bidi w:val="0"/>
              <w:adjustRightInd/>
              <w:snapToGrid/>
              <w:spacing w:line="360" w:lineRule="auto"/>
              <w:jc w:val="center"/>
              <w:rPr>
                <w:rFonts w:hint="eastAsia" w:ascii="黑体" w:hAnsi="黑体" w:eastAsia="黑体" w:cs="黑体"/>
                <w:b/>
                <w:bCs/>
                <w:i w:val="0"/>
                <w:iCs w:val="0"/>
                <w:color w:val="000000"/>
                <w:sz w:val="18"/>
                <w:szCs w:val="18"/>
                <w:highlight w:val="none"/>
                <w:u w:val="none"/>
              </w:rPr>
            </w:pPr>
          </w:p>
        </w:tc>
        <w:tc>
          <w:tcPr>
            <w:tcW w:w="283" w:type="pct"/>
            <w:vMerge w:val="continue"/>
            <w:tcBorders>
              <w:top w:val="single" w:color="000000" w:sz="4" w:space="0"/>
              <w:left w:val="single" w:color="000000" w:sz="4" w:space="0"/>
              <w:bottom w:val="single" w:color="000000" w:sz="4" w:space="0"/>
              <w:right w:val="single" w:color="000000" w:sz="4" w:space="0"/>
            </w:tcBorders>
            <w:noWrap/>
            <w:vAlign w:val="center"/>
          </w:tcPr>
          <w:p w14:paraId="0BAEE131">
            <w:pPr>
              <w:keepNext w:val="0"/>
              <w:keepLines w:val="0"/>
              <w:pageBreakBefore w:val="0"/>
              <w:kinsoku/>
              <w:wordWrap/>
              <w:overflowPunct/>
              <w:topLinePunct w:val="0"/>
              <w:autoSpaceDE/>
              <w:autoSpaceDN/>
              <w:bidi w:val="0"/>
              <w:adjustRightInd/>
              <w:snapToGrid/>
              <w:spacing w:line="360" w:lineRule="auto"/>
              <w:jc w:val="center"/>
              <w:rPr>
                <w:rFonts w:hint="eastAsia" w:ascii="黑体" w:hAnsi="黑体" w:eastAsia="黑体" w:cs="黑体"/>
                <w:i w:val="0"/>
                <w:iCs w:val="0"/>
                <w:color w:val="000000"/>
                <w:sz w:val="18"/>
                <w:szCs w:val="18"/>
                <w:highlight w:val="none"/>
                <w:u w:val="none"/>
              </w:rPr>
            </w:pPr>
          </w:p>
        </w:tc>
        <w:tc>
          <w:tcPr>
            <w:tcW w:w="3850" w:type="pct"/>
            <w:tcBorders>
              <w:top w:val="single" w:color="000000" w:sz="4" w:space="0"/>
              <w:left w:val="single" w:color="000000" w:sz="4" w:space="0"/>
              <w:bottom w:val="single" w:color="000000" w:sz="4" w:space="0"/>
              <w:right w:val="single" w:color="000000" w:sz="4" w:space="0"/>
            </w:tcBorders>
            <w:noWrap w:val="0"/>
            <w:vAlign w:val="center"/>
          </w:tcPr>
          <w:p w14:paraId="7C22426D">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1.工作长度120mm，宽度2mm，直型，右开口反咬切型。</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2.与患者接触部分的金属材料采用医用不锈钢材料制造，该材料化学成分符合GB/T 3280-2015，应经热处理，热处理硬度为48-53HRC。</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3.器械表面亚光处理，不得有锋棱、毛刺及明显的碰伤和划痕，其表面粗糙度Ra之值为：不大于0.8μm。</w:t>
            </w:r>
          </w:p>
        </w:tc>
        <w:tc>
          <w:tcPr>
            <w:tcW w:w="200" w:type="pct"/>
            <w:tcBorders>
              <w:top w:val="single" w:color="000000" w:sz="4" w:space="0"/>
              <w:left w:val="single" w:color="000000" w:sz="4" w:space="0"/>
              <w:bottom w:val="single" w:color="000000" w:sz="4" w:space="0"/>
              <w:right w:val="single" w:color="000000" w:sz="4" w:space="0"/>
            </w:tcBorders>
            <w:noWrap w:val="0"/>
            <w:vAlign w:val="center"/>
          </w:tcPr>
          <w:p w14:paraId="2CC92810">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2</w:t>
            </w:r>
          </w:p>
        </w:tc>
        <w:tc>
          <w:tcPr>
            <w:tcW w:w="266" w:type="pct"/>
            <w:tcBorders>
              <w:top w:val="single" w:color="000000" w:sz="4" w:space="0"/>
              <w:left w:val="single" w:color="000000" w:sz="4" w:space="0"/>
              <w:bottom w:val="single" w:color="000000" w:sz="4" w:space="0"/>
              <w:right w:val="single" w:color="000000" w:sz="4" w:space="0"/>
            </w:tcBorders>
            <w:noWrap w:val="0"/>
            <w:vAlign w:val="center"/>
          </w:tcPr>
          <w:p w14:paraId="5061280C">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把</w:t>
            </w:r>
          </w:p>
        </w:tc>
      </w:tr>
      <w:tr w14:paraId="42E05F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98" w:hRule="atLeast"/>
        </w:trPr>
        <w:tc>
          <w:tcPr>
            <w:tcW w:w="400" w:type="pct"/>
            <w:vMerge w:val="continue"/>
            <w:tcBorders>
              <w:top w:val="single" w:color="000000" w:sz="4" w:space="0"/>
              <w:left w:val="single" w:color="000000" w:sz="4" w:space="0"/>
              <w:bottom w:val="single" w:color="000000" w:sz="4" w:space="0"/>
              <w:right w:val="single" w:color="000000" w:sz="4" w:space="0"/>
            </w:tcBorders>
            <w:noWrap/>
            <w:vAlign w:val="center"/>
          </w:tcPr>
          <w:p w14:paraId="4F62B8FB">
            <w:pPr>
              <w:keepNext w:val="0"/>
              <w:keepLines w:val="0"/>
              <w:pageBreakBefore w:val="0"/>
              <w:kinsoku/>
              <w:wordWrap/>
              <w:overflowPunct/>
              <w:topLinePunct w:val="0"/>
              <w:autoSpaceDE/>
              <w:autoSpaceDN/>
              <w:bidi w:val="0"/>
              <w:adjustRightInd/>
              <w:snapToGrid/>
              <w:spacing w:line="360" w:lineRule="auto"/>
              <w:jc w:val="center"/>
              <w:rPr>
                <w:rFonts w:hint="eastAsia" w:ascii="黑体" w:hAnsi="黑体" w:eastAsia="黑体" w:cs="黑体"/>
                <w:b/>
                <w:bCs/>
                <w:i w:val="0"/>
                <w:iCs w:val="0"/>
                <w:color w:val="000000"/>
                <w:sz w:val="18"/>
                <w:szCs w:val="18"/>
                <w:highlight w:val="none"/>
                <w:u w:val="none"/>
              </w:rPr>
            </w:pPr>
          </w:p>
        </w:tc>
        <w:tc>
          <w:tcPr>
            <w:tcW w:w="283" w:type="pct"/>
            <w:vMerge w:val="continue"/>
            <w:tcBorders>
              <w:top w:val="single" w:color="000000" w:sz="4" w:space="0"/>
              <w:left w:val="single" w:color="000000" w:sz="4" w:space="0"/>
              <w:bottom w:val="single" w:color="000000" w:sz="4" w:space="0"/>
              <w:right w:val="single" w:color="000000" w:sz="4" w:space="0"/>
            </w:tcBorders>
            <w:noWrap/>
            <w:vAlign w:val="center"/>
          </w:tcPr>
          <w:p w14:paraId="32D38CC8">
            <w:pPr>
              <w:keepNext w:val="0"/>
              <w:keepLines w:val="0"/>
              <w:pageBreakBefore w:val="0"/>
              <w:kinsoku/>
              <w:wordWrap/>
              <w:overflowPunct/>
              <w:topLinePunct w:val="0"/>
              <w:autoSpaceDE/>
              <w:autoSpaceDN/>
              <w:bidi w:val="0"/>
              <w:adjustRightInd/>
              <w:snapToGrid/>
              <w:spacing w:line="360" w:lineRule="auto"/>
              <w:jc w:val="center"/>
              <w:rPr>
                <w:rFonts w:hint="eastAsia" w:ascii="黑体" w:hAnsi="黑体" w:eastAsia="黑体" w:cs="黑体"/>
                <w:i w:val="0"/>
                <w:iCs w:val="0"/>
                <w:color w:val="000000"/>
                <w:sz w:val="18"/>
                <w:szCs w:val="18"/>
                <w:highlight w:val="none"/>
                <w:u w:val="none"/>
              </w:rPr>
            </w:pPr>
          </w:p>
        </w:tc>
        <w:tc>
          <w:tcPr>
            <w:tcW w:w="3850" w:type="pct"/>
            <w:tcBorders>
              <w:top w:val="single" w:color="000000" w:sz="4" w:space="0"/>
              <w:left w:val="single" w:color="000000" w:sz="4" w:space="0"/>
              <w:bottom w:val="single" w:color="000000" w:sz="4" w:space="0"/>
              <w:right w:val="single" w:color="000000" w:sz="4" w:space="0"/>
            </w:tcBorders>
            <w:noWrap w:val="0"/>
            <w:vAlign w:val="center"/>
          </w:tcPr>
          <w:p w14:paraId="6C0A2646">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1.工作长度120mm，宽度2mm，直型，左开口反咬切型。</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2.与患者接触部分的金属材料采用医用不锈钢材料制造，该材料化学成分符合GB/T 3280-2015，应经热处理，热处理硬度为48-53HRC。</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3.器械表面亚光处理，不得有锋棱、毛刺及明显的碰伤和划痕，其表面粗糙度Ra之值为：不大于0.8μm。</w:t>
            </w:r>
          </w:p>
        </w:tc>
        <w:tc>
          <w:tcPr>
            <w:tcW w:w="200" w:type="pct"/>
            <w:tcBorders>
              <w:top w:val="single" w:color="000000" w:sz="4" w:space="0"/>
              <w:left w:val="single" w:color="000000" w:sz="4" w:space="0"/>
              <w:bottom w:val="single" w:color="000000" w:sz="4" w:space="0"/>
              <w:right w:val="single" w:color="000000" w:sz="4" w:space="0"/>
            </w:tcBorders>
            <w:noWrap w:val="0"/>
            <w:vAlign w:val="center"/>
          </w:tcPr>
          <w:p w14:paraId="31A58F9F">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2</w:t>
            </w:r>
          </w:p>
        </w:tc>
        <w:tc>
          <w:tcPr>
            <w:tcW w:w="266" w:type="pct"/>
            <w:tcBorders>
              <w:top w:val="single" w:color="000000" w:sz="4" w:space="0"/>
              <w:left w:val="single" w:color="000000" w:sz="4" w:space="0"/>
              <w:bottom w:val="single" w:color="000000" w:sz="4" w:space="0"/>
              <w:right w:val="single" w:color="000000" w:sz="4" w:space="0"/>
            </w:tcBorders>
            <w:noWrap w:val="0"/>
            <w:vAlign w:val="center"/>
          </w:tcPr>
          <w:p w14:paraId="1CB390F9">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把</w:t>
            </w:r>
          </w:p>
        </w:tc>
      </w:tr>
      <w:tr w14:paraId="6973D5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98" w:hRule="atLeast"/>
        </w:trPr>
        <w:tc>
          <w:tcPr>
            <w:tcW w:w="400" w:type="pct"/>
            <w:vMerge w:val="continue"/>
            <w:tcBorders>
              <w:top w:val="single" w:color="000000" w:sz="4" w:space="0"/>
              <w:left w:val="single" w:color="000000" w:sz="4" w:space="0"/>
              <w:bottom w:val="single" w:color="000000" w:sz="4" w:space="0"/>
              <w:right w:val="single" w:color="000000" w:sz="4" w:space="0"/>
            </w:tcBorders>
            <w:noWrap/>
            <w:vAlign w:val="center"/>
          </w:tcPr>
          <w:p w14:paraId="5481B3D5">
            <w:pPr>
              <w:keepNext w:val="0"/>
              <w:keepLines w:val="0"/>
              <w:pageBreakBefore w:val="0"/>
              <w:kinsoku/>
              <w:wordWrap/>
              <w:overflowPunct/>
              <w:topLinePunct w:val="0"/>
              <w:autoSpaceDE/>
              <w:autoSpaceDN/>
              <w:bidi w:val="0"/>
              <w:adjustRightInd/>
              <w:snapToGrid/>
              <w:spacing w:line="360" w:lineRule="auto"/>
              <w:jc w:val="center"/>
              <w:rPr>
                <w:rFonts w:hint="eastAsia" w:ascii="黑体" w:hAnsi="黑体" w:eastAsia="黑体" w:cs="黑体"/>
                <w:b/>
                <w:bCs/>
                <w:i w:val="0"/>
                <w:iCs w:val="0"/>
                <w:color w:val="000000"/>
                <w:sz w:val="18"/>
                <w:szCs w:val="18"/>
                <w:highlight w:val="none"/>
                <w:u w:val="none"/>
              </w:rPr>
            </w:pPr>
          </w:p>
        </w:tc>
        <w:tc>
          <w:tcPr>
            <w:tcW w:w="283" w:type="pct"/>
            <w:vMerge w:val="continue"/>
            <w:tcBorders>
              <w:top w:val="single" w:color="000000" w:sz="4" w:space="0"/>
              <w:left w:val="single" w:color="000000" w:sz="4" w:space="0"/>
              <w:bottom w:val="single" w:color="000000" w:sz="4" w:space="0"/>
              <w:right w:val="single" w:color="000000" w:sz="4" w:space="0"/>
            </w:tcBorders>
            <w:noWrap/>
            <w:vAlign w:val="center"/>
          </w:tcPr>
          <w:p w14:paraId="39F420AD">
            <w:pPr>
              <w:keepNext w:val="0"/>
              <w:keepLines w:val="0"/>
              <w:pageBreakBefore w:val="0"/>
              <w:kinsoku/>
              <w:wordWrap/>
              <w:overflowPunct/>
              <w:topLinePunct w:val="0"/>
              <w:autoSpaceDE/>
              <w:autoSpaceDN/>
              <w:bidi w:val="0"/>
              <w:adjustRightInd/>
              <w:snapToGrid/>
              <w:spacing w:line="360" w:lineRule="auto"/>
              <w:jc w:val="center"/>
              <w:rPr>
                <w:rFonts w:hint="eastAsia" w:ascii="黑体" w:hAnsi="黑体" w:eastAsia="黑体" w:cs="黑体"/>
                <w:i w:val="0"/>
                <w:iCs w:val="0"/>
                <w:color w:val="000000"/>
                <w:sz w:val="18"/>
                <w:szCs w:val="18"/>
                <w:highlight w:val="none"/>
                <w:u w:val="none"/>
              </w:rPr>
            </w:pPr>
          </w:p>
        </w:tc>
        <w:tc>
          <w:tcPr>
            <w:tcW w:w="3850" w:type="pct"/>
            <w:tcBorders>
              <w:top w:val="single" w:color="000000" w:sz="4" w:space="0"/>
              <w:left w:val="single" w:color="000000" w:sz="4" w:space="0"/>
              <w:bottom w:val="single" w:color="000000" w:sz="4" w:space="0"/>
              <w:right w:val="single" w:color="000000" w:sz="4" w:space="0"/>
            </w:tcBorders>
            <w:noWrap w:val="0"/>
            <w:vAlign w:val="center"/>
          </w:tcPr>
          <w:p w14:paraId="5EF647FD">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1.工作长度120mm，宽度1.5mm，直型，正咬切型。</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2.与患者接触部分的金属材料采用医用不锈钢材料制造，该材料化学成分符合GB/T 3280-2015，应经热处理，热处理硬度为48-53HRC。</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3.器械表面亚光处理，不得有锋棱、毛刺及明显的碰伤和划痕，其表面粗糙度Ra之值为：不大于0.8μm。</w:t>
            </w:r>
          </w:p>
        </w:tc>
        <w:tc>
          <w:tcPr>
            <w:tcW w:w="200" w:type="pct"/>
            <w:tcBorders>
              <w:top w:val="single" w:color="000000" w:sz="4" w:space="0"/>
              <w:left w:val="single" w:color="000000" w:sz="4" w:space="0"/>
              <w:bottom w:val="single" w:color="000000" w:sz="4" w:space="0"/>
              <w:right w:val="single" w:color="000000" w:sz="4" w:space="0"/>
            </w:tcBorders>
            <w:noWrap w:val="0"/>
            <w:vAlign w:val="center"/>
          </w:tcPr>
          <w:p w14:paraId="1483B698">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2</w:t>
            </w:r>
          </w:p>
        </w:tc>
        <w:tc>
          <w:tcPr>
            <w:tcW w:w="266" w:type="pct"/>
            <w:tcBorders>
              <w:top w:val="single" w:color="000000" w:sz="4" w:space="0"/>
              <w:left w:val="single" w:color="000000" w:sz="4" w:space="0"/>
              <w:bottom w:val="single" w:color="000000" w:sz="4" w:space="0"/>
              <w:right w:val="single" w:color="000000" w:sz="4" w:space="0"/>
            </w:tcBorders>
            <w:noWrap w:val="0"/>
            <w:vAlign w:val="center"/>
          </w:tcPr>
          <w:p w14:paraId="145DA91F">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把</w:t>
            </w:r>
          </w:p>
        </w:tc>
      </w:tr>
      <w:tr w14:paraId="1E3C38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98" w:hRule="atLeast"/>
        </w:trPr>
        <w:tc>
          <w:tcPr>
            <w:tcW w:w="400" w:type="pct"/>
            <w:vMerge w:val="continue"/>
            <w:tcBorders>
              <w:top w:val="single" w:color="000000" w:sz="4" w:space="0"/>
              <w:left w:val="single" w:color="000000" w:sz="4" w:space="0"/>
              <w:bottom w:val="single" w:color="000000" w:sz="4" w:space="0"/>
              <w:right w:val="single" w:color="000000" w:sz="4" w:space="0"/>
            </w:tcBorders>
            <w:noWrap/>
            <w:vAlign w:val="center"/>
          </w:tcPr>
          <w:p w14:paraId="3FC95164">
            <w:pPr>
              <w:keepNext w:val="0"/>
              <w:keepLines w:val="0"/>
              <w:pageBreakBefore w:val="0"/>
              <w:kinsoku/>
              <w:wordWrap/>
              <w:overflowPunct/>
              <w:topLinePunct w:val="0"/>
              <w:autoSpaceDE/>
              <w:autoSpaceDN/>
              <w:bidi w:val="0"/>
              <w:adjustRightInd/>
              <w:snapToGrid/>
              <w:spacing w:line="360" w:lineRule="auto"/>
              <w:jc w:val="center"/>
              <w:rPr>
                <w:rFonts w:hint="eastAsia" w:ascii="黑体" w:hAnsi="黑体" w:eastAsia="黑体" w:cs="黑体"/>
                <w:b/>
                <w:bCs/>
                <w:i w:val="0"/>
                <w:iCs w:val="0"/>
                <w:color w:val="000000"/>
                <w:sz w:val="18"/>
                <w:szCs w:val="18"/>
                <w:highlight w:val="none"/>
                <w:u w:val="none"/>
              </w:rPr>
            </w:pPr>
          </w:p>
        </w:tc>
        <w:tc>
          <w:tcPr>
            <w:tcW w:w="283" w:type="pct"/>
            <w:vMerge w:val="continue"/>
            <w:tcBorders>
              <w:top w:val="single" w:color="000000" w:sz="4" w:space="0"/>
              <w:left w:val="single" w:color="000000" w:sz="4" w:space="0"/>
              <w:bottom w:val="single" w:color="000000" w:sz="4" w:space="0"/>
              <w:right w:val="single" w:color="000000" w:sz="4" w:space="0"/>
            </w:tcBorders>
            <w:noWrap/>
            <w:vAlign w:val="center"/>
          </w:tcPr>
          <w:p w14:paraId="2211CA78">
            <w:pPr>
              <w:keepNext w:val="0"/>
              <w:keepLines w:val="0"/>
              <w:pageBreakBefore w:val="0"/>
              <w:kinsoku/>
              <w:wordWrap/>
              <w:overflowPunct/>
              <w:topLinePunct w:val="0"/>
              <w:autoSpaceDE/>
              <w:autoSpaceDN/>
              <w:bidi w:val="0"/>
              <w:adjustRightInd/>
              <w:snapToGrid/>
              <w:spacing w:line="360" w:lineRule="auto"/>
              <w:jc w:val="center"/>
              <w:rPr>
                <w:rFonts w:hint="eastAsia" w:ascii="黑体" w:hAnsi="黑体" w:eastAsia="黑体" w:cs="黑体"/>
                <w:i w:val="0"/>
                <w:iCs w:val="0"/>
                <w:color w:val="000000"/>
                <w:sz w:val="18"/>
                <w:szCs w:val="18"/>
                <w:highlight w:val="none"/>
                <w:u w:val="none"/>
              </w:rPr>
            </w:pPr>
          </w:p>
        </w:tc>
        <w:tc>
          <w:tcPr>
            <w:tcW w:w="3850" w:type="pct"/>
            <w:tcBorders>
              <w:top w:val="single" w:color="000000" w:sz="4" w:space="0"/>
              <w:left w:val="single" w:color="000000" w:sz="4" w:space="0"/>
              <w:bottom w:val="single" w:color="000000" w:sz="4" w:space="0"/>
              <w:right w:val="single" w:color="000000" w:sz="4" w:space="0"/>
            </w:tcBorders>
            <w:noWrap w:val="0"/>
            <w:vAlign w:val="center"/>
          </w:tcPr>
          <w:p w14:paraId="6120470E">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1.工作长度120mm，盖板式，头宽3.5mm，头部微下弯，反切。</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2.与患者接触部分的金属材料采用医用不锈钢材料制造，该材料化学成分符合GB/T 3280-2015，应经热处理，热处理硬度为48-53HRC。</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3.器械表面亚光处理，不得有锋棱、毛刺及明显的碰伤和划痕，其表面粗糙度Ra之值为：不大于0.8μm。</w:t>
            </w:r>
          </w:p>
        </w:tc>
        <w:tc>
          <w:tcPr>
            <w:tcW w:w="200" w:type="pct"/>
            <w:tcBorders>
              <w:top w:val="single" w:color="000000" w:sz="4" w:space="0"/>
              <w:left w:val="single" w:color="000000" w:sz="4" w:space="0"/>
              <w:bottom w:val="single" w:color="000000" w:sz="4" w:space="0"/>
              <w:right w:val="single" w:color="000000" w:sz="4" w:space="0"/>
            </w:tcBorders>
            <w:noWrap w:val="0"/>
            <w:vAlign w:val="center"/>
          </w:tcPr>
          <w:p w14:paraId="066A3D16">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2</w:t>
            </w:r>
          </w:p>
        </w:tc>
        <w:tc>
          <w:tcPr>
            <w:tcW w:w="266" w:type="pct"/>
            <w:tcBorders>
              <w:top w:val="single" w:color="000000" w:sz="4" w:space="0"/>
              <w:left w:val="single" w:color="000000" w:sz="4" w:space="0"/>
              <w:bottom w:val="single" w:color="000000" w:sz="4" w:space="0"/>
              <w:right w:val="single" w:color="000000" w:sz="4" w:space="0"/>
            </w:tcBorders>
            <w:noWrap w:val="0"/>
            <w:vAlign w:val="center"/>
          </w:tcPr>
          <w:p w14:paraId="33AC06CA">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把</w:t>
            </w:r>
          </w:p>
        </w:tc>
      </w:tr>
      <w:tr w14:paraId="131350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98" w:hRule="atLeast"/>
        </w:trPr>
        <w:tc>
          <w:tcPr>
            <w:tcW w:w="400" w:type="pct"/>
            <w:vMerge w:val="continue"/>
            <w:tcBorders>
              <w:top w:val="single" w:color="000000" w:sz="4" w:space="0"/>
              <w:left w:val="single" w:color="000000" w:sz="4" w:space="0"/>
              <w:bottom w:val="single" w:color="000000" w:sz="4" w:space="0"/>
              <w:right w:val="single" w:color="000000" w:sz="4" w:space="0"/>
            </w:tcBorders>
            <w:noWrap/>
            <w:vAlign w:val="center"/>
          </w:tcPr>
          <w:p w14:paraId="624C39EE">
            <w:pPr>
              <w:keepNext w:val="0"/>
              <w:keepLines w:val="0"/>
              <w:pageBreakBefore w:val="0"/>
              <w:kinsoku/>
              <w:wordWrap/>
              <w:overflowPunct/>
              <w:topLinePunct w:val="0"/>
              <w:autoSpaceDE/>
              <w:autoSpaceDN/>
              <w:bidi w:val="0"/>
              <w:adjustRightInd/>
              <w:snapToGrid/>
              <w:spacing w:line="360" w:lineRule="auto"/>
              <w:jc w:val="center"/>
              <w:rPr>
                <w:rFonts w:hint="eastAsia" w:ascii="黑体" w:hAnsi="黑体" w:eastAsia="黑体" w:cs="黑体"/>
                <w:b/>
                <w:bCs/>
                <w:i w:val="0"/>
                <w:iCs w:val="0"/>
                <w:color w:val="000000"/>
                <w:sz w:val="18"/>
                <w:szCs w:val="18"/>
                <w:highlight w:val="none"/>
                <w:u w:val="none"/>
              </w:rPr>
            </w:pPr>
          </w:p>
        </w:tc>
        <w:tc>
          <w:tcPr>
            <w:tcW w:w="283" w:type="pct"/>
            <w:vMerge w:val="continue"/>
            <w:tcBorders>
              <w:top w:val="single" w:color="000000" w:sz="4" w:space="0"/>
              <w:left w:val="single" w:color="000000" w:sz="4" w:space="0"/>
              <w:bottom w:val="single" w:color="000000" w:sz="4" w:space="0"/>
              <w:right w:val="single" w:color="000000" w:sz="4" w:space="0"/>
            </w:tcBorders>
            <w:noWrap/>
            <w:vAlign w:val="center"/>
          </w:tcPr>
          <w:p w14:paraId="602D7D7D">
            <w:pPr>
              <w:keepNext w:val="0"/>
              <w:keepLines w:val="0"/>
              <w:pageBreakBefore w:val="0"/>
              <w:kinsoku/>
              <w:wordWrap/>
              <w:overflowPunct/>
              <w:topLinePunct w:val="0"/>
              <w:autoSpaceDE/>
              <w:autoSpaceDN/>
              <w:bidi w:val="0"/>
              <w:adjustRightInd/>
              <w:snapToGrid/>
              <w:spacing w:line="360" w:lineRule="auto"/>
              <w:jc w:val="center"/>
              <w:rPr>
                <w:rFonts w:hint="eastAsia" w:ascii="黑体" w:hAnsi="黑体" w:eastAsia="黑体" w:cs="黑体"/>
                <w:i w:val="0"/>
                <w:iCs w:val="0"/>
                <w:color w:val="000000"/>
                <w:sz w:val="18"/>
                <w:szCs w:val="18"/>
                <w:highlight w:val="none"/>
                <w:u w:val="none"/>
              </w:rPr>
            </w:pPr>
          </w:p>
        </w:tc>
        <w:tc>
          <w:tcPr>
            <w:tcW w:w="3850" w:type="pct"/>
            <w:tcBorders>
              <w:top w:val="single" w:color="000000" w:sz="4" w:space="0"/>
              <w:left w:val="single" w:color="000000" w:sz="4" w:space="0"/>
              <w:bottom w:val="single" w:color="000000" w:sz="4" w:space="0"/>
              <w:right w:val="single" w:color="000000" w:sz="4" w:space="0"/>
            </w:tcBorders>
            <w:noWrap w:val="0"/>
            <w:vAlign w:val="center"/>
          </w:tcPr>
          <w:p w14:paraId="7D98F668">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1.工作长度120mm，头宽5mm，角弯110°，横开，管式，蝴蝶头。</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2.与患者接触部分的金属材料采用医用不锈钢材料制造，该材料化学成分符合GB/T 3280-2015，应经热处理，热处理硬度为40-48HRC。</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3.器械表面亚光处理，不得有锋棱、毛刺及明显的碰伤和划痕，其表面粗糙度Ra之值为：不大于0.8μm。</w:t>
            </w:r>
          </w:p>
        </w:tc>
        <w:tc>
          <w:tcPr>
            <w:tcW w:w="200" w:type="pct"/>
            <w:tcBorders>
              <w:top w:val="single" w:color="000000" w:sz="4" w:space="0"/>
              <w:left w:val="single" w:color="000000" w:sz="4" w:space="0"/>
              <w:bottom w:val="single" w:color="000000" w:sz="4" w:space="0"/>
              <w:right w:val="single" w:color="000000" w:sz="4" w:space="0"/>
            </w:tcBorders>
            <w:noWrap w:val="0"/>
            <w:vAlign w:val="center"/>
          </w:tcPr>
          <w:p w14:paraId="6F024E9C">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2</w:t>
            </w:r>
          </w:p>
        </w:tc>
        <w:tc>
          <w:tcPr>
            <w:tcW w:w="266" w:type="pct"/>
            <w:tcBorders>
              <w:top w:val="single" w:color="000000" w:sz="4" w:space="0"/>
              <w:left w:val="single" w:color="000000" w:sz="4" w:space="0"/>
              <w:bottom w:val="single" w:color="000000" w:sz="4" w:space="0"/>
              <w:right w:val="single" w:color="000000" w:sz="4" w:space="0"/>
            </w:tcBorders>
            <w:noWrap w:val="0"/>
            <w:vAlign w:val="center"/>
          </w:tcPr>
          <w:p w14:paraId="1BA597ED">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把</w:t>
            </w:r>
          </w:p>
        </w:tc>
      </w:tr>
      <w:tr w14:paraId="3EC2B7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3" w:hRule="atLeast"/>
        </w:trPr>
        <w:tc>
          <w:tcPr>
            <w:tcW w:w="400" w:type="pct"/>
            <w:vMerge w:val="continue"/>
            <w:tcBorders>
              <w:top w:val="single" w:color="000000" w:sz="4" w:space="0"/>
              <w:left w:val="single" w:color="000000" w:sz="4" w:space="0"/>
              <w:bottom w:val="single" w:color="000000" w:sz="4" w:space="0"/>
              <w:right w:val="single" w:color="000000" w:sz="4" w:space="0"/>
            </w:tcBorders>
            <w:noWrap/>
            <w:vAlign w:val="center"/>
          </w:tcPr>
          <w:p w14:paraId="1133439F">
            <w:pPr>
              <w:keepNext w:val="0"/>
              <w:keepLines w:val="0"/>
              <w:pageBreakBefore w:val="0"/>
              <w:kinsoku/>
              <w:wordWrap/>
              <w:overflowPunct/>
              <w:topLinePunct w:val="0"/>
              <w:autoSpaceDE/>
              <w:autoSpaceDN/>
              <w:bidi w:val="0"/>
              <w:adjustRightInd/>
              <w:snapToGrid/>
              <w:spacing w:line="360" w:lineRule="auto"/>
              <w:jc w:val="center"/>
              <w:rPr>
                <w:rFonts w:hint="eastAsia" w:ascii="黑体" w:hAnsi="黑体" w:eastAsia="黑体" w:cs="黑体"/>
                <w:b/>
                <w:bCs/>
                <w:i w:val="0"/>
                <w:iCs w:val="0"/>
                <w:color w:val="000000"/>
                <w:sz w:val="18"/>
                <w:szCs w:val="18"/>
                <w:highlight w:val="none"/>
                <w:u w:val="none"/>
              </w:rPr>
            </w:pPr>
          </w:p>
        </w:tc>
        <w:tc>
          <w:tcPr>
            <w:tcW w:w="283" w:type="pct"/>
            <w:vMerge w:val="continue"/>
            <w:tcBorders>
              <w:top w:val="single" w:color="000000" w:sz="4" w:space="0"/>
              <w:left w:val="single" w:color="000000" w:sz="4" w:space="0"/>
              <w:bottom w:val="single" w:color="000000" w:sz="4" w:space="0"/>
              <w:right w:val="single" w:color="000000" w:sz="4" w:space="0"/>
            </w:tcBorders>
            <w:noWrap/>
            <w:vAlign w:val="center"/>
          </w:tcPr>
          <w:p w14:paraId="14CD2B29">
            <w:pPr>
              <w:keepNext w:val="0"/>
              <w:keepLines w:val="0"/>
              <w:pageBreakBefore w:val="0"/>
              <w:kinsoku/>
              <w:wordWrap/>
              <w:overflowPunct/>
              <w:topLinePunct w:val="0"/>
              <w:autoSpaceDE/>
              <w:autoSpaceDN/>
              <w:bidi w:val="0"/>
              <w:adjustRightInd/>
              <w:snapToGrid/>
              <w:spacing w:line="360" w:lineRule="auto"/>
              <w:jc w:val="center"/>
              <w:rPr>
                <w:rFonts w:hint="eastAsia" w:ascii="黑体" w:hAnsi="黑体" w:eastAsia="黑体" w:cs="黑体"/>
                <w:i w:val="0"/>
                <w:iCs w:val="0"/>
                <w:color w:val="000000"/>
                <w:sz w:val="18"/>
                <w:szCs w:val="18"/>
                <w:highlight w:val="none"/>
                <w:u w:val="none"/>
              </w:rPr>
            </w:pPr>
          </w:p>
        </w:tc>
        <w:tc>
          <w:tcPr>
            <w:tcW w:w="3850" w:type="pct"/>
            <w:tcBorders>
              <w:top w:val="single" w:color="000000" w:sz="4" w:space="0"/>
              <w:left w:val="single" w:color="000000" w:sz="4" w:space="0"/>
              <w:bottom w:val="single" w:color="000000" w:sz="4" w:space="0"/>
              <w:right w:val="single" w:color="000000" w:sz="4" w:space="0"/>
            </w:tcBorders>
            <w:noWrap w:val="0"/>
            <w:vAlign w:val="center"/>
          </w:tcPr>
          <w:p w14:paraId="7FAAE777">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1.工作长度150mm，头宽3mm，直头，盖板式，尖圆头。</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2.与患者接触部分的金属材料采用医用不锈钢材料制造，该材料化学成分符合GB/T 3280-2015，应经热处理，热处理硬度为40-48HRC。</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3.器械表面亚光处理，不得有锋棱、毛刺及明显的碰伤和划痕，其表面粗糙度Ra之值为：不大于0.8μm。</w:t>
            </w:r>
          </w:p>
        </w:tc>
        <w:tc>
          <w:tcPr>
            <w:tcW w:w="200" w:type="pct"/>
            <w:tcBorders>
              <w:top w:val="single" w:color="000000" w:sz="4" w:space="0"/>
              <w:left w:val="single" w:color="000000" w:sz="4" w:space="0"/>
              <w:bottom w:val="single" w:color="000000" w:sz="4" w:space="0"/>
              <w:right w:val="single" w:color="000000" w:sz="4" w:space="0"/>
            </w:tcBorders>
            <w:noWrap w:val="0"/>
            <w:vAlign w:val="center"/>
          </w:tcPr>
          <w:p w14:paraId="19C8221E">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2</w:t>
            </w:r>
          </w:p>
        </w:tc>
        <w:tc>
          <w:tcPr>
            <w:tcW w:w="266" w:type="pct"/>
            <w:tcBorders>
              <w:top w:val="single" w:color="000000" w:sz="4" w:space="0"/>
              <w:left w:val="single" w:color="000000" w:sz="4" w:space="0"/>
              <w:bottom w:val="single" w:color="000000" w:sz="4" w:space="0"/>
              <w:right w:val="single" w:color="000000" w:sz="4" w:space="0"/>
            </w:tcBorders>
            <w:noWrap w:val="0"/>
            <w:vAlign w:val="center"/>
          </w:tcPr>
          <w:p w14:paraId="734B426A">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把</w:t>
            </w:r>
          </w:p>
        </w:tc>
      </w:tr>
      <w:tr w14:paraId="4D0842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98" w:hRule="atLeast"/>
        </w:trPr>
        <w:tc>
          <w:tcPr>
            <w:tcW w:w="400" w:type="pct"/>
            <w:vMerge w:val="continue"/>
            <w:tcBorders>
              <w:top w:val="single" w:color="000000" w:sz="4" w:space="0"/>
              <w:left w:val="single" w:color="000000" w:sz="4" w:space="0"/>
              <w:bottom w:val="single" w:color="000000" w:sz="4" w:space="0"/>
              <w:right w:val="single" w:color="000000" w:sz="4" w:space="0"/>
            </w:tcBorders>
            <w:noWrap/>
            <w:vAlign w:val="center"/>
          </w:tcPr>
          <w:p w14:paraId="3ABEE3CB">
            <w:pPr>
              <w:keepNext w:val="0"/>
              <w:keepLines w:val="0"/>
              <w:pageBreakBefore w:val="0"/>
              <w:kinsoku/>
              <w:wordWrap/>
              <w:overflowPunct/>
              <w:topLinePunct w:val="0"/>
              <w:autoSpaceDE/>
              <w:autoSpaceDN/>
              <w:bidi w:val="0"/>
              <w:adjustRightInd/>
              <w:snapToGrid/>
              <w:spacing w:line="360" w:lineRule="auto"/>
              <w:jc w:val="center"/>
              <w:rPr>
                <w:rFonts w:hint="eastAsia" w:ascii="黑体" w:hAnsi="黑体" w:eastAsia="黑体" w:cs="黑体"/>
                <w:b/>
                <w:bCs/>
                <w:i w:val="0"/>
                <w:iCs w:val="0"/>
                <w:color w:val="000000"/>
                <w:sz w:val="18"/>
                <w:szCs w:val="18"/>
                <w:highlight w:val="none"/>
                <w:u w:val="none"/>
              </w:rPr>
            </w:pPr>
          </w:p>
        </w:tc>
        <w:tc>
          <w:tcPr>
            <w:tcW w:w="283" w:type="pct"/>
            <w:vMerge w:val="continue"/>
            <w:tcBorders>
              <w:top w:val="single" w:color="000000" w:sz="4" w:space="0"/>
              <w:left w:val="single" w:color="000000" w:sz="4" w:space="0"/>
              <w:bottom w:val="single" w:color="000000" w:sz="4" w:space="0"/>
              <w:right w:val="single" w:color="000000" w:sz="4" w:space="0"/>
            </w:tcBorders>
            <w:noWrap/>
            <w:vAlign w:val="center"/>
          </w:tcPr>
          <w:p w14:paraId="28B63B63">
            <w:pPr>
              <w:keepNext w:val="0"/>
              <w:keepLines w:val="0"/>
              <w:pageBreakBefore w:val="0"/>
              <w:kinsoku/>
              <w:wordWrap/>
              <w:overflowPunct/>
              <w:topLinePunct w:val="0"/>
              <w:autoSpaceDE/>
              <w:autoSpaceDN/>
              <w:bidi w:val="0"/>
              <w:adjustRightInd/>
              <w:snapToGrid/>
              <w:spacing w:line="360" w:lineRule="auto"/>
              <w:jc w:val="center"/>
              <w:rPr>
                <w:rFonts w:hint="eastAsia" w:ascii="黑体" w:hAnsi="黑体" w:eastAsia="黑体" w:cs="黑体"/>
                <w:i w:val="0"/>
                <w:iCs w:val="0"/>
                <w:color w:val="000000"/>
                <w:sz w:val="18"/>
                <w:szCs w:val="18"/>
                <w:highlight w:val="none"/>
                <w:u w:val="none"/>
              </w:rPr>
            </w:pPr>
          </w:p>
        </w:tc>
        <w:tc>
          <w:tcPr>
            <w:tcW w:w="3850" w:type="pct"/>
            <w:tcBorders>
              <w:top w:val="single" w:color="000000" w:sz="4" w:space="0"/>
              <w:left w:val="single" w:color="000000" w:sz="4" w:space="0"/>
              <w:bottom w:val="single" w:color="000000" w:sz="4" w:space="0"/>
              <w:right w:val="single" w:color="000000" w:sz="4" w:space="0"/>
            </w:tcBorders>
            <w:noWrap w:val="0"/>
            <w:vAlign w:val="center"/>
          </w:tcPr>
          <w:p w14:paraId="350D1278">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1.总长140mm，角弯110°，管式，长圆头，竖直方向开合。</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2.与患者接触部分的金属材料采用医用不锈钢材料制造，该材料化学成分符合GB/T 3280-2015，应经热处理，热处理硬度为40-48HRC。</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3.器械表面亚光处理，不得有锋棱、毛刺及明显的碰伤和划痕，其表面粗糙度Ra之值为：不大于0.8μm。</w:t>
            </w:r>
          </w:p>
        </w:tc>
        <w:tc>
          <w:tcPr>
            <w:tcW w:w="200" w:type="pct"/>
            <w:tcBorders>
              <w:top w:val="single" w:color="000000" w:sz="4" w:space="0"/>
              <w:left w:val="single" w:color="000000" w:sz="4" w:space="0"/>
              <w:bottom w:val="single" w:color="000000" w:sz="4" w:space="0"/>
              <w:right w:val="single" w:color="000000" w:sz="4" w:space="0"/>
            </w:tcBorders>
            <w:noWrap w:val="0"/>
            <w:vAlign w:val="center"/>
          </w:tcPr>
          <w:p w14:paraId="1AF14D2A">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2</w:t>
            </w:r>
          </w:p>
        </w:tc>
        <w:tc>
          <w:tcPr>
            <w:tcW w:w="266" w:type="pct"/>
            <w:tcBorders>
              <w:top w:val="single" w:color="000000" w:sz="4" w:space="0"/>
              <w:left w:val="single" w:color="000000" w:sz="4" w:space="0"/>
              <w:bottom w:val="single" w:color="000000" w:sz="4" w:space="0"/>
              <w:right w:val="single" w:color="000000" w:sz="4" w:space="0"/>
            </w:tcBorders>
            <w:noWrap w:val="0"/>
            <w:vAlign w:val="center"/>
          </w:tcPr>
          <w:p w14:paraId="48937C16">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把</w:t>
            </w:r>
          </w:p>
        </w:tc>
      </w:tr>
      <w:tr w14:paraId="29025F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98" w:hRule="atLeast"/>
        </w:trPr>
        <w:tc>
          <w:tcPr>
            <w:tcW w:w="400" w:type="pct"/>
            <w:vMerge w:val="continue"/>
            <w:tcBorders>
              <w:top w:val="single" w:color="000000" w:sz="4" w:space="0"/>
              <w:left w:val="single" w:color="000000" w:sz="4" w:space="0"/>
              <w:bottom w:val="single" w:color="000000" w:sz="4" w:space="0"/>
              <w:right w:val="single" w:color="000000" w:sz="4" w:space="0"/>
            </w:tcBorders>
            <w:noWrap/>
            <w:vAlign w:val="center"/>
          </w:tcPr>
          <w:p w14:paraId="78955E6D">
            <w:pPr>
              <w:keepNext w:val="0"/>
              <w:keepLines w:val="0"/>
              <w:pageBreakBefore w:val="0"/>
              <w:kinsoku/>
              <w:wordWrap/>
              <w:overflowPunct/>
              <w:topLinePunct w:val="0"/>
              <w:autoSpaceDE/>
              <w:autoSpaceDN/>
              <w:bidi w:val="0"/>
              <w:adjustRightInd/>
              <w:snapToGrid/>
              <w:spacing w:line="360" w:lineRule="auto"/>
              <w:jc w:val="center"/>
              <w:rPr>
                <w:rFonts w:hint="eastAsia" w:ascii="黑体" w:hAnsi="黑体" w:eastAsia="黑体" w:cs="黑体"/>
                <w:b/>
                <w:bCs/>
                <w:i w:val="0"/>
                <w:iCs w:val="0"/>
                <w:color w:val="000000"/>
                <w:sz w:val="18"/>
                <w:szCs w:val="18"/>
                <w:highlight w:val="none"/>
                <w:u w:val="none"/>
              </w:rPr>
            </w:pPr>
          </w:p>
        </w:tc>
        <w:tc>
          <w:tcPr>
            <w:tcW w:w="283" w:type="pct"/>
            <w:vMerge w:val="continue"/>
            <w:tcBorders>
              <w:top w:val="single" w:color="000000" w:sz="4" w:space="0"/>
              <w:left w:val="single" w:color="000000" w:sz="4" w:space="0"/>
              <w:bottom w:val="single" w:color="000000" w:sz="4" w:space="0"/>
              <w:right w:val="single" w:color="000000" w:sz="4" w:space="0"/>
            </w:tcBorders>
            <w:noWrap/>
            <w:vAlign w:val="center"/>
          </w:tcPr>
          <w:p w14:paraId="2C411738">
            <w:pPr>
              <w:keepNext w:val="0"/>
              <w:keepLines w:val="0"/>
              <w:pageBreakBefore w:val="0"/>
              <w:kinsoku/>
              <w:wordWrap/>
              <w:overflowPunct/>
              <w:topLinePunct w:val="0"/>
              <w:autoSpaceDE/>
              <w:autoSpaceDN/>
              <w:bidi w:val="0"/>
              <w:adjustRightInd/>
              <w:snapToGrid/>
              <w:spacing w:line="360" w:lineRule="auto"/>
              <w:jc w:val="center"/>
              <w:rPr>
                <w:rFonts w:hint="eastAsia" w:ascii="黑体" w:hAnsi="黑体" w:eastAsia="黑体" w:cs="黑体"/>
                <w:i w:val="0"/>
                <w:iCs w:val="0"/>
                <w:color w:val="000000"/>
                <w:sz w:val="18"/>
                <w:szCs w:val="18"/>
                <w:highlight w:val="none"/>
                <w:u w:val="none"/>
              </w:rPr>
            </w:pPr>
          </w:p>
        </w:tc>
        <w:tc>
          <w:tcPr>
            <w:tcW w:w="3850" w:type="pct"/>
            <w:tcBorders>
              <w:top w:val="single" w:color="000000" w:sz="4" w:space="0"/>
              <w:left w:val="single" w:color="000000" w:sz="4" w:space="0"/>
              <w:bottom w:val="single" w:color="000000" w:sz="4" w:space="0"/>
              <w:right w:val="single" w:color="000000" w:sz="4" w:space="0"/>
            </w:tcBorders>
            <w:noWrap w:val="0"/>
            <w:vAlign w:val="center"/>
          </w:tcPr>
          <w:p w14:paraId="52C8B4D7">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1.工作长度140mm，盖板式，头部角弯，长圆头，头宽3mm。</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2.与患者接触部分的金属材料采用医用不锈钢材料制造，该材料化学成分符合GB/T 3280-2015，应经热处理，热处理硬度为40-48HRC。</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3.器械表面亚光处理，不得有锋棱、毛刺及明显的碰伤和划痕，其表面粗糙度Ra之值为：不大于0.8μm。</w:t>
            </w:r>
          </w:p>
        </w:tc>
        <w:tc>
          <w:tcPr>
            <w:tcW w:w="200" w:type="pct"/>
            <w:tcBorders>
              <w:top w:val="single" w:color="000000" w:sz="4" w:space="0"/>
              <w:left w:val="single" w:color="000000" w:sz="4" w:space="0"/>
              <w:bottom w:val="single" w:color="000000" w:sz="4" w:space="0"/>
              <w:right w:val="single" w:color="000000" w:sz="4" w:space="0"/>
            </w:tcBorders>
            <w:noWrap w:val="0"/>
            <w:vAlign w:val="center"/>
          </w:tcPr>
          <w:p w14:paraId="3217CC1E">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2</w:t>
            </w:r>
          </w:p>
        </w:tc>
        <w:tc>
          <w:tcPr>
            <w:tcW w:w="266" w:type="pct"/>
            <w:tcBorders>
              <w:top w:val="single" w:color="000000" w:sz="4" w:space="0"/>
              <w:left w:val="single" w:color="000000" w:sz="4" w:space="0"/>
              <w:bottom w:val="single" w:color="000000" w:sz="4" w:space="0"/>
              <w:right w:val="single" w:color="000000" w:sz="4" w:space="0"/>
            </w:tcBorders>
            <w:noWrap w:val="0"/>
            <w:vAlign w:val="center"/>
          </w:tcPr>
          <w:p w14:paraId="7FF61129">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把</w:t>
            </w:r>
          </w:p>
        </w:tc>
      </w:tr>
      <w:tr w14:paraId="7DCA11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98" w:hRule="atLeast"/>
        </w:trPr>
        <w:tc>
          <w:tcPr>
            <w:tcW w:w="400" w:type="pct"/>
            <w:vMerge w:val="continue"/>
            <w:tcBorders>
              <w:top w:val="single" w:color="000000" w:sz="4" w:space="0"/>
              <w:left w:val="single" w:color="000000" w:sz="4" w:space="0"/>
              <w:bottom w:val="single" w:color="000000" w:sz="4" w:space="0"/>
              <w:right w:val="single" w:color="000000" w:sz="4" w:space="0"/>
            </w:tcBorders>
            <w:noWrap/>
            <w:vAlign w:val="center"/>
          </w:tcPr>
          <w:p w14:paraId="6102F777">
            <w:pPr>
              <w:keepNext w:val="0"/>
              <w:keepLines w:val="0"/>
              <w:pageBreakBefore w:val="0"/>
              <w:kinsoku/>
              <w:wordWrap/>
              <w:overflowPunct/>
              <w:topLinePunct w:val="0"/>
              <w:autoSpaceDE/>
              <w:autoSpaceDN/>
              <w:bidi w:val="0"/>
              <w:adjustRightInd/>
              <w:snapToGrid/>
              <w:spacing w:line="360" w:lineRule="auto"/>
              <w:jc w:val="center"/>
              <w:rPr>
                <w:rFonts w:hint="eastAsia" w:ascii="黑体" w:hAnsi="黑体" w:eastAsia="黑体" w:cs="黑体"/>
                <w:b/>
                <w:bCs/>
                <w:i w:val="0"/>
                <w:iCs w:val="0"/>
                <w:color w:val="000000"/>
                <w:sz w:val="18"/>
                <w:szCs w:val="18"/>
                <w:highlight w:val="none"/>
                <w:u w:val="none"/>
              </w:rPr>
            </w:pPr>
          </w:p>
        </w:tc>
        <w:tc>
          <w:tcPr>
            <w:tcW w:w="283" w:type="pct"/>
            <w:vMerge w:val="continue"/>
            <w:tcBorders>
              <w:top w:val="single" w:color="000000" w:sz="4" w:space="0"/>
              <w:left w:val="single" w:color="000000" w:sz="4" w:space="0"/>
              <w:bottom w:val="single" w:color="000000" w:sz="4" w:space="0"/>
              <w:right w:val="single" w:color="000000" w:sz="4" w:space="0"/>
            </w:tcBorders>
            <w:noWrap/>
            <w:vAlign w:val="center"/>
          </w:tcPr>
          <w:p w14:paraId="503C9C20">
            <w:pPr>
              <w:keepNext w:val="0"/>
              <w:keepLines w:val="0"/>
              <w:pageBreakBefore w:val="0"/>
              <w:kinsoku/>
              <w:wordWrap/>
              <w:overflowPunct/>
              <w:topLinePunct w:val="0"/>
              <w:autoSpaceDE/>
              <w:autoSpaceDN/>
              <w:bidi w:val="0"/>
              <w:adjustRightInd/>
              <w:snapToGrid/>
              <w:spacing w:line="360" w:lineRule="auto"/>
              <w:jc w:val="center"/>
              <w:rPr>
                <w:rFonts w:hint="eastAsia" w:ascii="黑体" w:hAnsi="黑体" w:eastAsia="黑体" w:cs="黑体"/>
                <w:i w:val="0"/>
                <w:iCs w:val="0"/>
                <w:color w:val="000000"/>
                <w:sz w:val="18"/>
                <w:szCs w:val="18"/>
                <w:highlight w:val="none"/>
                <w:u w:val="none"/>
              </w:rPr>
            </w:pPr>
          </w:p>
        </w:tc>
        <w:tc>
          <w:tcPr>
            <w:tcW w:w="3850" w:type="pct"/>
            <w:tcBorders>
              <w:top w:val="single" w:color="000000" w:sz="4" w:space="0"/>
              <w:left w:val="single" w:color="000000" w:sz="4" w:space="0"/>
              <w:bottom w:val="single" w:color="000000" w:sz="4" w:space="0"/>
              <w:right w:val="single" w:color="000000" w:sz="4" w:space="0"/>
            </w:tcBorders>
            <w:noWrap w:val="0"/>
            <w:vAlign w:val="center"/>
          </w:tcPr>
          <w:p w14:paraId="58A5642A">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1.工作长度180mm，管径3.5mm，头部角弯30°，蝶窦口。</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2.与患者接触部分的金属材料采用医用不锈钢材料制造，该材料化学成分符合GB/T 3280-2015，应经热处理，其硬度为48-56HRC。</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3.器械表面亚光处理，不得有锋棱、毛刺及明显的碰伤和划痕，其表面粗糙度Ra之值为：不大于0.8μm。</w:t>
            </w:r>
          </w:p>
        </w:tc>
        <w:tc>
          <w:tcPr>
            <w:tcW w:w="200" w:type="pct"/>
            <w:tcBorders>
              <w:top w:val="single" w:color="000000" w:sz="4" w:space="0"/>
              <w:left w:val="single" w:color="000000" w:sz="4" w:space="0"/>
              <w:bottom w:val="single" w:color="000000" w:sz="4" w:space="0"/>
              <w:right w:val="single" w:color="000000" w:sz="4" w:space="0"/>
            </w:tcBorders>
            <w:noWrap w:val="0"/>
            <w:vAlign w:val="center"/>
          </w:tcPr>
          <w:p w14:paraId="2CACB8C2">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2</w:t>
            </w:r>
          </w:p>
        </w:tc>
        <w:tc>
          <w:tcPr>
            <w:tcW w:w="266" w:type="pct"/>
            <w:tcBorders>
              <w:top w:val="single" w:color="000000" w:sz="4" w:space="0"/>
              <w:left w:val="single" w:color="000000" w:sz="4" w:space="0"/>
              <w:bottom w:val="single" w:color="000000" w:sz="4" w:space="0"/>
              <w:right w:val="single" w:color="000000" w:sz="4" w:space="0"/>
            </w:tcBorders>
            <w:noWrap w:val="0"/>
            <w:vAlign w:val="center"/>
          </w:tcPr>
          <w:p w14:paraId="70E7313F">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把</w:t>
            </w:r>
          </w:p>
        </w:tc>
      </w:tr>
      <w:tr w14:paraId="4697FC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400" w:type="pct"/>
            <w:vMerge w:val="continue"/>
            <w:tcBorders>
              <w:top w:val="single" w:color="000000" w:sz="4" w:space="0"/>
              <w:left w:val="single" w:color="000000" w:sz="4" w:space="0"/>
              <w:bottom w:val="single" w:color="000000" w:sz="4" w:space="0"/>
              <w:right w:val="single" w:color="000000" w:sz="4" w:space="0"/>
            </w:tcBorders>
            <w:noWrap/>
            <w:vAlign w:val="center"/>
          </w:tcPr>
          <w:p w14:paraId="56EA6C89">
            <w:pPr>
              <w:keepNext w:val="0"/>
              <w:keepLines w:val="0"/>
              <w:pageBreakBefore w:val="0"/>
              <w:kinsoku/>
              <w:wordWrap/>
              <w:overflowPunct/>
              <w:topLinePunct w:val="0"/>
              <w:autoSpaceDE/>
              <w:autoSpaceDN/>
              <w:bidi w:val="0"/>
              <w:adjustRightInd/>
              <w:snapToGrid/>
              <w:spacing w:line="360" w:lineRule="auto"/>
              <w:jc w:val="center"/>
              <w:rPr>
                <w:rFonts w:hint="eastAsia" w:ascii="黑体" w:hAnsi="黑体" w:eastAsia="黑体" w:cs="黑体"/>
                <w:b/>
                <w:bCs/>
                <w:i w:val="0"/>
                <w:iCs w:val="0"/>
                <w:color w:val="000000"/>
                <w:sz w:val="18"/>
                <w:szCs w:val="18"/>
                <w:highlight w:val="none"/>
                <w:u w:val="none"/>
              </w:rPr>
            </w:pPr>
          </w:p>
        </w:tc>
        <w:tc>
          <w:tcPr>
            <w:tcW w:w="283" w:type="pct"/>
            <w:vMerge w:val="continue"/>
            <w:tcBorders>
              <w:top w:val="single" w:color="000000" w:sz="4" w:space="0"/>
              <w:left w:val="single" w:color="000000" w:sz="4" w:space="0"/>
              <w:bottom w:val="single" w:color="000000" w:sz="4" w:space="0"/>
              <w:right w:val="single" w:color="000000" w:sz="4" w:space="0"/>
            </w:tcBorders>
            <w:noWrap/>
            <w:vAlign w:val="center"/>
          </w:tcPr>
          <w:p w14:paraId="5D0EF261">
            <w:pPr>
              <w:keepNext w:val="0"/>
              <w:keepLines w:val="0"/>
              <w:pageBreakBefore w:val="0"/>
              <w:kinsoku/>
              <w:wordWrap/>
              <w:overflowPunct/>
              <w:topLinePunct w:val="0"/>
              <w:autoSpaceDE/>
              <w:autoSpaceDN/>
              <w:bidi w:val="0"/>
              <w:adjustRightInd/>
              <w:snapToGrid/>
              <w:spacing w:line="360" w:lineRule="auto"/>
              <w:jc w:val="center"/>
              <w:rPr>
                <w:rFonts w:hint="eastAsia" w:ascii="黑体" w:hAnsi="黑体" w:eastAsia="黑体" w:cs="黑体"/>
                <w:i w:val="0"/>
                <w:iCs w:val="0"/>
                <w:color w:val="000000"/>
                <w:sz w:val="18"/>
                <w:szCs w:val="18"/>
                <w:highlight w:val="none"/>
                <w:u w:val="none"/>
              </w:rPr>
            </w:pPr>
          </w:p>
        </w:tc>
        <w:tc>
          <w:tcPr>
            <w:tcW w:w="3850" w:type="pct"/>
            <w:tcBorders>
              <w:top w:val="single" w:color="000000" w:sz="4" w:space="0"/>
              <w:left w:val="single" w:color="000000" w:sz="4" w:space="0"/>
              <w:bottom w:val="single" w:color="000000" w:sz="4" w:space="0"/>
              <w:right w:val="single" w:color="000000" w:sz="4" w:space="0"/>
            </w:tcBorders>
            <w:noWrap w:val="0"/>
            <w:vAlign w:val="center"/>
          </w:tcPr>
          <w:p w14:paraId="488B5114">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1.工作长度140mm，下圆弯，弯度115°，头部宽度5mm。</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2.与患者接触部分的金属材料采用医用不锈钢材料制造，该材料化学成分符合GB/T 3280-2015，应经热处理，其硬度为40-48HRC。</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3.器械表面亚光处理，不得有锋棱、毛刺及明显的碰伤和划痕，其表面粗糙度Ra之值为：不大于0.8μm。</w:t>
            </w:r>
          </w:p>
        </w:tc>
        <w:tc>
          <w:tcPr>
            <w:tcW w:w="200" w:type="pct"/>
            <w:tcBorders>
              <w:top w:val="single" w:color="000000" w:sz="4" w:space="0"/>
              <w:left w:val="single" w:color="000000" w:sz="4" w:space="0"/>
              <w:bottom w:val="single" w:color="000000" w:sz="4" w:space="0"/>
              <w:right w:val="single" w:color="000000" w:sz="4" w:space="0"/>
            </w:tcBorders>
            <w:noWrap w:val="0"/>
            <w:vAlign w:val="center"/>
          </w:tcPr>
          <w:p w14:paraId="6CDBED9A">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2</w:t>
            </w:r>
          </w:p>
        </w:tc>
        <w:tc>
          <w:tcPr>
            <w:tcW w:w="266" w:type="pct"/>
            <w:tcBorders>
              <w:top w:val="single" w:color="000000" w:sz="4" w:space="0"/>
              <w:left w:val="single" w:color="000000" w:sz="4" w:space="0"/>
              <w:bottom w:val="single" w:color="000000" w:sz="4" w:space="0"/>
              <w:right w:val="single" w:color="000000" w:sz="4" w:space="0"/>
            </w:tcBorders>
            <w:noWrap w:val="0"/>
            <w:vAlign w:val="center"/>
          </w:tcPr>
          <w:p w14:paraId="01B514F4">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把</w:t>
            </w:r>
          </w:p>
        </w:tc>
      </w:tr>
      <w:tr w14:paraId="0572FB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98" w:hRule="atLeast"/>
        </w:trPr>
        <w:tc>
          <w:tcPr>
            <w:tcW w:w="400" w:type="pct"/>
            <w:vMerge w:val="continue"/>
            <w:tcBorders>
              <w:top w:val="single" w:color="000000" w:sz="4" w:space="0"/>
              <w:left w:val="single" w:color="000000" w:sz="4" w:space="0"/>
              <w:bottom w:val="single" w:color="000000" w:sz="4" w:space="0"/>
              <w:right w:val="single" w:color="000000" w:sz="4" w:space="0"/>
            </w:tcBorders>
            <w:noWrap/>
            <w:vAlign w:val="center"/>
          </w:tcPr>
          <w:p w14:paraId="73DD5729">
            <w:pPr>
              <w:keepNext w:val="0"/>
              <w:keepLines w:val="0"/>
              <w:pageBreakBefore w:val="0"/>
              <w:kinsoku/>
              <w:wordWrap/>
              <w:overflowPunct/>
              <w:topLinePunct w:val="0"/>
              <w:autoSpaceDE/>
              <w:autoSpaceDN/>
              <w:bidi w:val="0"/>
              <w:adjustRightInd/>
              <w:snapToGrid/>
              <w:spacing w:line="360" w:lineRule="auto"/>
              <w:jc w:val="center"/>
              <w:rPr>
                <w:rFonts w:hint="eastAsia" w:ascii="黑体" w:hAnsi="黑体" w:eastAsia="黑体" w:cs="黑体"/>
                <w:b/>
                <w:bCs/>
                <w:i w:val="0"/>
                <w:iCs w:val="0"/>
                <w:color w:val="000000"/>
                <w:sz w:val="18"/>
                <w:szCs w:val="18"/>
                <w:highlight w:val="none"/>
                <w:u w:val="none"/>
              </w:rPr>
            </w:pPr>
          </w:p>
        </w:tc>
        <w:tc>
          <w:tcPr>
            <w:tcW w:w="283" w:type="pct"/>
            <w:vMerge w:val="continue"/>
            <w:tcBorders>
              <w:top w:val="single" w:color="000000" w:sz="4" w:space="0"/>
              <w:left w:val="single" w:color="000000" w:sz="4" w:space="0"/>
              <w:bottom w:val="single" w:color="000000" w:sz="4" w:space="0"/>
              <w:right w:val="single" w:color="000000" w:sz="4" w:space="0"/>
            </w:tcBorders>
            <w:noWrap/>
            <w:vAlign w:val="center"/>
          </w:tcPr>
          <w:p w14:paraId="60C9AD45">
            <w:pPr>
              <w:keepNext w:val="0"/>
              <w:keepLines w:val="0"/>
              <w:pageBreakBefore w:val="0"/>
              <w:kinsoku/>
              <w:wordWrap/>
              <w:overflowPunct/>
              <w:topLinePunct w:val="0"/>
              <w:autoSpaceDE/>
              <w:autoSpaceDN/>
              <w:bidi w:val="0"/>
              <w:adjustRightInd/>
              <w:snapToGrid/>
              <w:spacing w:line="360" w:lineRule="auto"/>
              <w:jc w:val="center"/>
              <w:rPr>
                <w:rFonts w:hint="eastAsia" w:ascii="黑体" w:hAnsi="黑体" w:eastAsia="黑体" w:cs="黑体"/>
                <w:i w:val="0"/>
                <w:iCs w:val="0"/>
                <w:color w:val="000000"/>
                <w:sz w:val="18"/>
                <w:szCs w:val="18"/>
                <w:highlight w:val="none"/>
                <w:u w:val="none"/>
              </w:rPr>
            </w:pPr>
          </w:p>
        </w:tc>
        <w:tc>
          <w:tcPr>
            <w:tcW w:w="3850" w:type="pct"/>
            <w:tcBorders>
              <w:top w:val="single" w:color="000000" w:sz="4" w:space="0"/>
              <w:left w:val="single" w:color="000000" w:sz="4" w:space="0"/>
              <w:bottom w:val="single" w:color="000000" w:sz="4" w:space="0"/>
              <w:right w:val="single" w:color="000000" w:sz="4" w:space="0"/>
            </w:tcBorders>
            <w:noWrap w:val="0"/>
            <w:vAlign w:val="center"/>
          </w:tcPr>
          <w:p w14:paraId="1D8FADF6">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1.总体长度135mm，头宽5mm，下弯90°。</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2.与患者接触部分的金属材料采用医用不锈钢材料制造，该材料化学成分符合GB/T 3280-2015，应经热处理，其硬度为40-48HRC。</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3.器械表面亚光处理，不得有锋棱、毛刺及明显的碰伤和划痕，其表面粗糙度Ra之值为：不大于0.8μm。</w:t>
            </w:r>
          </w:p>
        </w:tc>
        <w:tc>
          <w:tcPr>
            <w:tcW w:w="200" w:type="pct"/>
            <w:tcBorders>
              <w:top w:val="single" w:color="000000" w:sz="4" w:space="0"/>
              <w:left w:val="single" w:color="000000" w:sz="4" w:space="0"/>
              <w:bottom w:val="single" w:color="000000" w:sz="4" w:space="0"/>
              <w:right w:val="single" w:color="000000" w:sz="4" w:space="0"/>
            </w:tcBorders>
            <w:noWrap w:val="0"/>
            <w:vAlign w:val="center"/>
          </w:tcPr>
          <w:p w14:paraId="4505388D">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2</w:t>
            </w:r>
          </w:p>
        </w:tc>
        <w:tc>
          <w:tcPr>
            <w:tcW w:w="266" w:type="pct"/>
            <w:tcBorders>
              <w:top w:val="single" w:color="000000" w:sz="4" w:space="0"/>
              <w:left w:val="single" w:color="000000" w:sz="4" w:space="0"/>
              <w:bottom w:val="single" w:color="000000" w:sz="4" w:space="0"/>
              <w:right w:val="single" w:color="000000" w:sz="4" w:space="0"/>
            </w:tcBorders>
            <w:noWrap w:val="0"/>
            <w:vAlign w:val="center"/>
          </w:tcPr>
          <w:p w14:paraId="0767D35B">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把</w:t>
            </w:r>
          </w:p>
        </w:tc>
      </w:tr>
      <w:tr w14:paraId="398FD8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2" w:hRule="atLeast"/>
        </w:trPr>
        <w:tc>
          <w:tcPr>
            <w:tcW w:w="400" w:type="pct"/>
            <w:vMerge w:val="continue"/>
            <w:tcBorders>
              <w:top w:val="single" w:color="000000" w:sz="4" w:space="0"/>
              <w:left w:val="single" w:color="000000" w:sz="4" w:space="0"/>
              <w:bottom w:val="single" w:color="000000" w:sz="4" w:space="0"/>
              <w:right w:val="single" w:color="000000" w:sz="4" w:space="0"/>
            </w:tcBorders>
            <w:noWrap/>
            <w:vAlign w:val="center"/>
          </w:tcPr>
          <w:p w14:paraId="3615B678">
            <w:pPr>
              <w:keepNext w:val="0"/>
              <w:keepLines w:val="0"/>
              <w:pageBreakBefore w:val="0"/>
              <w:kinsoku/>
              <w:wordWrap/>
              <w:overflowPunct/>
              <w:topLinePunct w:val="0"/>
              <w:autoSpaceDE/>
              <w:autoSpaceDN/>
              <w:bidi w:val="0"/>
              <w:adjustRightInd/>
              <w:snapToGrid/>
              <w:spacing w:line="360" w:lineRule="auto"/>
              <w:jc w:val="center"/>
              <w:rPr>
                <w:rFonts w:hint="eastAsia" w:ascii="黑体" w:hAnsi="黑体" w:eastAsia="黑体" w:cs="黑体"/>
                <w:b/>
                <w:bCs/>
                <w:i w:val="0"/>
                <w:iCs w:val="0"/>
                <w:color w:val="000000"/>
                <w:sz w:val="18"/>
                <w:szCs w:val="18"/>
                <w:highlight w:val="none"/>
                <w:u w:val="none"/>
              </w:rPr>
            </w:pPr>
          </w:p>
        </w:tc>
        <w:tc>
          <w:tcPr>
            <w:tcW w:w="283" w:type="pct"/>
            <w:vMerge w:val="continue"/>
            <w:tcBorders>
              <w:top w:val="single" w:color="000000" w:sz="4" w:space="0"/>
              <w:left w:val="single" w:color="000000" w:sz="4" w:space="0"/>
              <w:bottom w:val="single" w:color="000000" w:sz="4" w:space="0"/>
              <w:right w:val="single" w:color="000000" w:sz="4" w:space="0"/>
            </w:tcBorders>
            <w:noWrap/>
            <w:vAlign w:val="center"/>
          </w:tcPr>
          <w:p w14:paraId="5647F432">
            <w:pPr>
              <w:keepNext w:val="0"/>
              <w:keepLines w:val="0"/>
              <w:pageBreakBefore w:val="0"/>
              <w:kinsoku/>
              <w:wordWrap/>
              <w:overflowPunct/>
              <w:topLinePunct w:val="0"/>
              <w:autoSpaceDE/>
              <w:autoSpaceDN/>
              <w:bidi w:val="0"/>
              <w:adjustRightInd/>
              <w:snapToGrid/>
              <w:spacing w:line="360" w:lineRule="auto"/>
              <w:jc w:val="center"/>
              <w:rPr>
                <w:rFonts w:hint="eastAsia" w:ascii="黑体" w:hAnsi="黑体" w:eastAsia="黑体" w:cs="黑体"/>
                <w:i w:val="0"/>
                <w:iCs w:val="0"/>
                <w:color w:val="000000"/>
                <w:sz w:val="18"/>
                <w:szCs w:val="18"/>
                <w:highlight w:val="none"/>
                <w:u w:val="none"/>
              </w:rPr>
            </w:pPr>
          </w:p>
        </w:tc>
        <w:tc>
          <w:tcPr>
            <w:tcW w:w="3850" w:type="pct"/>
            <w:tcBorders>
              <w:top w:val="single" w:color="000000" w:sz="4" w:space="0"/>
              <w:left w:val="single" w:color="000000" w:sz="4" w:space="0"/>
              <w:bottom w:val="single" w:color="000000" w:sz="4" w:space="0"/>
              <w:right w:val="single" w:color="000000" w:sz="4" w:space="0"/>
            </w:tcBorders>
            <w:noWrap w:val="0"/>
            <w:vAlign w:val="center"/>
          </w:tcPr>
          <w:p w14:paraId="3A987FCB">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1.工作长度140mm，上圆弯，弯度115°，头部宽度5mm。</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2.与患者接触部分的金属材料采用医用不锈钢材料制造，该材料化学成分符合GB/T 3280-2015，应经热处理，其硬度为40-48HRC。</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3.器械表面亚光处理，不得有锋棱、毛刺及明显的碰伤和划痕，其表面粗糙度Ra之值为：不大于0.8μm。</w:t>
            </w:r>
          </w:p>
        </w:tc>
        <w:tc>
          <w:tcPr>
            <w:tcW w:w="200" w:type="pct"/>
            <w:tcBorders>
              <w:top w:val="single" w:color="000000" w:sz="4" w:space="0"/>
              <w:left w:val="single" w:color="000000" w:sz="4" w:space="0"/>
              <w:bottom w:val="single" w:color="000000" w:sz="4" w:space="0"/>
              <w:right w:val="single" w:color="000000" w:sz="4" w:space="0"/>
            </w:tcBorders>
            <w:noWrap w:val="0"/>
            <w:vAlign w:val="center"/>
          </w:tcPr>
          <w:p w14:paraId="6503DC22">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2</w:t>
            </w:r>
          </w:p>
        </w:tc>
        <w:tc>
          <w:tcPr>
            <w:tcW w:w="266" w:type="pct"/>
            <w:tcBorders>
              <w:top w:val="single" w:color="000000" w:sz="4" w:space="0"/>
              <w:left w:val="single" w:color="000000" w:sz="4" w:space="0"/>
              <w:bottom w:val="single" w:color="000000" w:sz="4" w:space="0"/>
              <w:right w:val="single" w:color="000000" w:sz="4" w:space="0"/>
            </w:tcBorders>
            <w:noWrap w:val="0"/>
            <w:vAlign w:val="center"/>
          </w:tcPr>
          <w:p w14:paraId="22A9B5B3">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把</w:t>
            </w:r>
          </w:p>
        </w:tc>
      </w:tr>
      <w:tr w14:paraId="616F49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98" w:hRule="atLeast"/>
        </w:trPr>
        <w:tc>
          <w:tcPr>
            <w:tcW w:w="400" w:type="pct"/>
            <w:vMerge w:val="continue"/>
            <w:tcBorders>
              <w:top w:val="single" w:color="000000" w:sz="4" w:space="0"/>
              <w:left w:val="single" w:color="000000" w:sz="4" w:space="0"/>
              <w:bottom w:val="single" w:color="000000" w:sz="4" w:space="0"/>
              <w:right w:val="single" w:color="000000" w:sz="4" w:space="0"/>
            </w:tcBorders>
            <w:noWrap/>
            <w:vAlign w:val="center"/>
          </w:tcPr>
          <w:p w14:paraId="64188E02">
            <w:pPr>
              <w:keepNext w:val="0"/>
              <w:keepLines w:val="0"/>
              <w:pageBreakBefore w:val="0"/>
              <w:kinsoku/>
              <w:wordWrap/>
              <w:overflowPunct/>
              <w:topLinePunct w:val="0"/>
              <w:autoSpaceDE/>
              <w:autoSpaceDN/>
              <w:bidi w:val="0"/>
              <w:adjustRightInd/>
              <w:snapToGrid/>
              <w:spacing w:line="360" w:lineRule="auto"/>
              <w:jc w:val="center"/>
              <w:rPr>
                <w:rFonts w:hint="eastAsia" w:ascii="黑体" w:hAnsi="黑体" w:eastAsia="黑体" w:cs="黑体"/>
                <w:b/>
                <w:bCs/>
                <w:i w:val="0"/>
                <w:iCs w:val="0"/>
                <w:color w:val="000000"/>
                <w:sz w:val="18"/>
                <w:szCs w:val="18"/>
                <w:highlight w:val="none"/>
                <w:u w:val="none"/>
              </w:rPr>
            </w:pPr>
          </w:p>
        </w:tc>
        <w:tc>
          <w:tcPr>
            <w:tcW w:w="283" w:type="pct"/>
            <w:vMerge w:val="continue"/>
            <w:tcBorders>
              <w:top w:val="single" w:color="000000" w:sz="4" w:space="0"/>
              <w:left w:val="single" w:color="000000" w:sz="4" w:space="0"/>
              <w:bottom w:val="single" w:color="000000" w:sz="4" w:space="0"/>
              <w:right w:val="single" w:color="000000" w:sz="4" w:space="0"/>
            </w:tcBorders>
            <w:noWrap/>
            <w:vAlign w:val="center"/>
          </w:tcPr>
          <w:p w14:paraId="295AF493">
            <w:pPr>
              <w:keepNext w:val="0"/>
              <w:keepLines w:val="0"/>
              <w:pageBreakBefore w:val="0"/>
              <w:kinsoku/>
              <w:wordWrap/>
              <w:overflowPunct/>
              <w:topLinePunct w:val="0"/>
              <w:autoSpaceDE/>
              <w:autoSpaceDN/>
              <w:bidi w:val="0"/>
              <w:adjustRightInd/>
              <w:snapToGrid/>
              <w:spacing w:line="360" w:lineRule="auto"/>
              <w:jc w:val="center"/>
              <w:rPr>
                <w:rFonts w:hint="eastAsia" w:ascii="黑体" w:hAnsi="黑体" w:eastAsia="黑体" w:cs="黑体"/>
                <w:i w:val="0"/>
                <w:iCs w:val="0"/>
                <w:color w:val="000000"/>
                <w:sz w:val="18"/>
                <w:szCs w:val="18"/>
                <w:highlight w:val="none"/>
                <w:u w:val="none"/>
              </w:rPr>
            </w:pPr>
          </w:p>
        </w:tc>
        <w:tc>
          <w:tcPr>
            <w:tcW w:w="3850" w:type="pct"/>
            <w:tcBorders>
              <w:top w:val="single" w:color="000000" w:sz="4" w:space="0"/>
              <w:left w:val="single" w:color="000000" w:sz="4" w:space="0"/>
              <w:bottom w:val="single" w:color="000000" w:sz="4" w:space="0"/>
              <w:right w:val="single" w:color="000000" w:sz="4" w:space="0"/>
            </w:tcBorders>
            <w:noWrap w:val="0"/>
            <w:vAlign w:val="center"/>
          </w:tcPr>
          <w:p w14:paraId="202F619E">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1.工作长度135mm，管式，头部上弯90°，头宽5mm。</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2.与患者接触部分的金属材料采用医用不锈钢材料制造，该材料化学成分符合GB/T 3280-2015，应经热处理，其硬度为40-48HRC。</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3.器械表面亚光处理，不得有锋棱、毛刺及明显的碰伤和划痕，其表面粗糙度Ra之值为：不大于0.8μm。</w:t>
            </w:r>
          </w:p>
        </w:tc>
        <w:tc>
          <w:tcPr>
            <w:tcW w:w="200" w:type="pct"/>
            <w:tcBorders>
              <w:top w:val="single" w:color="000000" w:sz="4" w:space="0"/>
              <w:left w:val="single" w:color="000000" w:sz="4" w:space="0"/>
              <w:bottom w:val="single" w:color="000000" w:sz="4" w:space="0"/>
              <w:right w:val="single" w:color="000000" w:sz="4" w:space="0"/>
            </w:tcBorders>
            <w:noWrap w:val="0"/>
            <w:vAlign w:val="center"/>
          </w:tcPr>
          <w:p w14:paraId="6778BA7F">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2</w:t>
            </w:r>
          </w:p>
        </w:tc>
        <w:tc>
          <w:tcPr>
            <w:tcW w:w="266" w:type="pct"/>
            <w:tcBorders>
              <w:top w:val="single" w:color="000000" w:sz="4" w:space="0"/>
              <w:left w:val="single" w:color="000000" w:sz="4" w:space="0"/>
              <w:bottom w:val="single" w:color="000000" w:sz="4" w:space="0"/>
              <w:right w:val="single" w:color="000000" w:sz="4" w:space="0"/>
            </w:tcBorders>
            <w:noWrap w:val="0"/>
            <w:vAlign w:val="center"/>
          </w:tcPr>
          <w:p w14:paraId="3E323EBB">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把</w:t>
            </w:r>
          </w:p>
        </w:tc>
      </w:tr>
      <w:tr w14:paraId="3F2D37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98" w:hRule="atLeast"/>
        </w:trPr>
        <w:tc>
          <w:tcPr>
            <w:tcW w:w="400" w:type="pct"/>
            <w:vMerge w:val="continue"/>
            <w:tcBorders>
              <w:top w:val="single" w:color="000000" w:sz="4" w:space="0"/>
              <w:left w:val="single" w:color="000000" w:sz="4" w:space="0"/>
              <w:bottom w:val="single" w:color="000000" w:sz="4" w:space="0"/>
              <w:right w:val="single" w:color="000000" w:sz="4" w:space="0"/>
            </w:tcBorders>
            <w:noWrap/>
            <w:vAlign w:val="center"/>
          </w:tcPr>
          <w:p w14:paraId="5FAAA07F">
            <w:pPr>
              <w:keepNext w:val="0"/>
              <w:keepLines w:val="0"/>
              <w:pageBreakBefore w:val="0"/>
              <w:kinsoku/>
              <w:wordWrap/>
              <w:overflowPunct/>
              <w:topLinePunct w:val="0"/>
              <w:autoSpaceDE/>
              <w:autoSpaceDN/>
              <w:bidi w:val="0"/>
              <w:adjustRightInd/>
              <w:snapToGrid/>
              <w:spacing w:line="360" w:lineRule="auto"/>
              <w:jc w:val="center"/>
              <w:rPr>
                <w:rFonts w:hint="eastAsia" w:ascii="黑体" w:hAnsi="黑体" w:eastAsia="黑体" w:cs="黑体"/>
                <w:b/>
                <w:bCs/>
                <w:i w:val="0"/>
                <w:iCs w:val="0"/>
                <w:color w:val="000000"/>
                <w:sz w:val="18"/>
                <w:szCs w:val="18"/>
                <w:highlight w:val="none"/>
                <w:u w:val="none"/>
              </w:rPr>
            </w:pPr>
          </w:p>
        </w:tc>
        <w:tc>
          <w:tcPr>
            <w:tcW w:w="283" w:type="pct"/>
            <w:vMerge w:val="continue"/>
            <w:tcBorders>
              <w:top w:val="single" w:color="000000" w:sz="4" w:space="0"/>
              <w:left w:val="single" w:color="000000" w:sz="4" w:space="0"/>
              <w:bottom w:val="single" w:color="000000" w:sz="4" w:space="0"/>
              <w:right w:val="single" w:color="000000" w:sz="4" w:space="0"/>
            </w:tcBorders>
            <w:noWrap/>
            <w:vAlign w:val="center"/>
          </w:tcPr>
          <w:p w14:paraId="38006D38">
            <w:pPr>
              <w:keepNext w:val="0"/>
              <w:keepLines w:val="0"/>
              <w:pageBreakBefore w:val="0"/>
              <w:kinsoku/>
              <w:wordWrap/>
              <w:overflowPunct/>
              <w:topLinePunct w:val="0"/>
              <w:autoSpaceDE/>
              <w:autoSpaceDN/>
              <w:bidi w:val="0"/>
              <w:adjustRightInd/>
              <w:snapToGrid/>
              <w:spacing w:line="360" w:lineRule="auto"/>
              <w:jc w:val="center"/>
              <w:rPr>
                <w:rFonts w:hint="eastAsia" w:ascii="黑体" w:hAnsi="黑体" w:eastAsia="黑体" w:cs="黑体"/>
                <w:i w:val="0"/>
                <w:iCs w:val="0"/>
                <w:color w:val="000000"/>
                <w:sz w:val="18"/>
                <w:szCs w:val="18"/>
                <w:highlight w:val="none"/>
                <w:u w:val="none"/>
              </w:rPr>
            </w:pPr>
          </w:p>
        </w:tc>
        <w:tc>
          <w:tcPr>
            <w:tcW w:w="3850" w:type="pct"/>
            <w:tcBorders>
              <w:top w:val="single" w:color="000000" w:sz="4" w:space="0"/>
              <w:left w:val="single" w:color="000000" w:sz="4" w:space="0"/>
              <w:bottom w:val="single" w:color="000000" w:sz="4" w:space="0"/>
              <w:right w:val="single" w:color="000000" w:sz="4" w:space="0"/>
            </w:tcBorders>
            <w:noWrap w:val="0"/>
            <w:vAlign w:val="center"/>
          </w:tcPr>
          <w:p w14:paraId="439A8CBE">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1.总长150mm，弯高24mm，直径φ2.5。</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2.与患者接触部分的金属材料采用医用不锈钢材料制造，该材料化学成分符合GB/T 3280-2015。</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3.器械表面亚光处理，不得有锋棱、毛刺及明显的碰伤和划痕，其表面粗糙度Ra之值为：不大于0.8μm。</w:t>
            </w:r>
          </w:p>
        </w:tc>
        <w:tc>
          <w:tcPr>
            <w:tcW w:w="200" w:type="pct"/>
            <w:tcBorders>
              <w:top w:val="single" w:color="000000" w:sz="4" w:space="0"/>
              <w:left w:val="single" w:color="000000" w:sz="4" w:space="0"/>
              <w:bottom w:val="single" w:color="000000" w:sz="4" w:space="0"/>
              <w:right w:val="single" w:color="000000" w:sz="4" w:space="0"/>
            </w:tcBorders>
            <w:noWrap w:val="0"/>
            <w:vAlign w:val="center"/>
          </w:tcPr>
          <w:p w14:paraId="045D00B9">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2</w:t>
            </w:r>
          </w:p>
        </w:tc>
        <w:tc>
          <w:tcPr>
            <w:tcW w:w="266" w:type="pct"/>
            <w:tcBorders>
              <w:top w:val="single" w:color="000000" w:sz="4" w:space="0"/>
              <w:left w:val="single" w:color="000000" w:sz="4" w:space="0"/>
              <w:bottom w:val="single" w:color="000000" w:sz="4" w:space="0"/>
              <w:right w:val="single" w:color="000000" w:sz="4" w:space="0"/>
            </w:tcBorders>
            <w:noWrap w:val="0"/>
            <w:vAlign w:val="center"/>
          </w:tcPr>
          <w:p w14:paraId="56960CB0">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把</w:t>
            </w:r>
          </w:p>
        </w:tc>
      </w:tr>
      <w:tr w14:paraId="247573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98" w:hRule="atLeast"/>
        </w:trPr>
        <w:tc>
          <w:tcPr>
            <w:tcW w:w="400" w:type="pct"/>
            <w:vMerge w:val="continue"/>
            <w:tcBorders>
              <w:top w:val="single" w:color="000000" w:sz="4" w:space="0"/>
              <w:left w:val="single" w:color="000000" w:sz="4" w:space="0"/>
              <w:bottom w:val="single" w:color="000000" w:sz="4" w:space="0"/>
              <w:right w:val="single" w:color="000000" w:sz="4" w:space="0"/>
            </w:tcBorders>
            <w:noWrap/>
            <w:vAlign w:val="center"/>
          </w:tcPr>
          <w:p w14:paraId="6DD8F4B0">
            <w:pPr>
              <w:keepNext w:val="0"/>
              <w:keepLines w:val="0"/>
              <w:pageBreakBefore w:val="0"/>
              <w:kinsoku/>
              <w:wordWrap/>
              <w:overflowPunct/>
              <w:topLinePunct w:val="0"/>
              <w:autoSpaceDE/>
              <w:autoSpaceDN/>
              <w:bidi w:val="0"/>
              <w:adjustRightInd/>
              <w:snapToGrid/>
              <w:spacing w:line="360" w:lineRule="auto"/>
              <w:jc w:val="center"/>
              <w:rPr>
                <w:rFonts w:hint="eastAsia" w:ascii="黑体" w:hAnsi="黑体" w:eastAsia="黑体" w:cs="黑体"/>
                <w:b/>
                <w:bCs/>
                <w:i w:val="0"/>
                <w:iCs w:val="0"/>
                <w:color w:val="000000"/>
                <w:sz w:val="18"/>
                <w:szCs w:val="18"/>
                <w:highlight w:val="none"/>
                <w:u w:val="none"/>
              </w:rPr>
            </w:pPr>
          </w:p>
        </w:tc>
        <w:tc>
          <w:tcPr>
            <w:tcW w:w="283" w:type="pct"/>
            <w:vMerge w:val="continue"/>
            <w:tcBorders>
              <w:top w:val="single" w:color="000000" w:sz="4" w:space="0"/>
              <w:left w:val="single" w:color="000000" w:sz="4" w:space="0"/>
              <w:bottom w:val="single" w:color="000000" w:sz="4" w:space="0"/>
              <w:right w:val="single" w:color="000000" w:sz="4" w:space="0"/>
            </w:tcBorders>
            <w:noWrap/>
            <w:vAlign w:val="center"/>
          </w:tcPr>
          <w:p w14:paraId="001E40BC">
            <w:pPr>
              <w:keepNext w:val="0"/>
              <w:keepLines w:val="0"/>
              <w:pageBreakBefore w:val="0"/>
              <w:kinsoku/>
              <w:wordWrap/>
              <w:overflowPunct/>
              <w:topLinePunct w:val="0"/>
              <w:autoSpaceDE/>
              <w:autoSpaceDN/>
              <w:bidi w:val="0"/>
              <w:adjustRightInd/>
              <w:snapToGrid/>
              <w:spacing w:line="360" w:lineRule="auto"/>
              <w:jc w:val="center"/>
              <w:rPr>
                <w:rFonts w:hint="eastAsia" w:ascii="黑体" w:hAnsi="黑体" w:eastAsia="黑体" w:cs="黑体"/>
                <w:i w:val="0"/>
                <w:iCs w:val="0"/>
                <w:color w:val="000000"/>
                <w:sz w:val="18"/>
                <w:szCs w:val="18"/>
                <w:highlight w:val="none"/>
                <w:u w:val="none"/>
              </w:rPr>
            </w:pPr>
          </w:p>
        </w:tc>
        <w:tc>
          <w:tcPr>
            <w:tcW w:w="3850" w:type="pct"/>
            <w:tcBorders>
              <w:top w:val="single" w:color="000000" w:sz="4" w:space="0"/>
              <w:left w:val="single" w:color="000000" w:sz="4" w:space="0"/>
              <w:bottom w:val="single" w:color="000000" w:sz="4" w:space="0"/>
              <w:right w:val="single" w:color="000000" w:sz="4" w:space="0"/>
            </w:tcBorders>
            <w:noWrap w:val="0"/>
            <w:vAlign w:val="center"/>
          </w:tcPr>
          <w:p w14:paraId="55FEBA95">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1.总体长度175mm，管径2.5mm，可控。</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2.与患者接触部分的金属材料采用医用不锈钢材料制造，该材料化学成分符合GB/T 3280-2015。</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3.器械表面亚光处理，不得有锋棱、毛刺及明显的碰伤和划痕，其表面粗糙度Ra之值为：不大于0.8μm。</w:t>
            </w:r>
          </w:p>
        </w:tc>
        <w:tc>
          <w:tcPr>
            <w:tcW w:w="200" w:type="pct"/>
            <w:tcBorders>
              <w:top w:val="single" w:color="000000" w:sz="4" w:space="0"/>
              <w:left w:val="single" w:color="000000" w:sz="4" w:space="0"/>
              <w:bottom w:val="single" w:color="000000" w:sz="4" w:space="0"/>
              <w:right w:val="single" w:color="000000" w:sz="4" w:space="0"/>
            </w:tcBorders>
            <w:noWrap w:val="0"/>
            <w:vAlign w:val="center"/>
          </w:tcPr>
          <w:p w14:paraId="33C44145">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2</w:t>
            </w:r>
          </w:p>
        </w:tc>
        <w:tc>
          <w:tcPr>
            <w:tcW w:w="266" w:type="pct"/>
            <w:tcBorders>
              <w:top w:val="single" w:color="000000" w:sz="4" w:space="0"/>
              <w:left w:val="single" w:color="000000" w:sz="4" w:space="0"/>
              <w:bottom w:val="single" w:color="000000" w:sz="4" w:space="0"/>
              <w:right w:val="single" w:color="000000" w:sz="4" w:space="0"/>
            </w:tcBorders>
            <w:noWrap w:val="0"/>
            <w:vAlign w:val="center"/>
          </w:tcPr>
          <w:p w14:paraId="1AEAE986">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把</w:t>
            </w:r>
          </w:p>
        </w:tc>
      </w:tr>
      <w:tr w14:paraId="75EDEE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98" w:hRule="atLeast"/>
        </w:trPr>
        <w:tc>
          <w:tcPr>
            <w:tcW w:w="400" w:type="pct"/>
            <w:vMerge w:val="continue"/>
            <w:tcBorders>
              <w:top w:val="single" w:color="000000" w:sz="4" w:space="0"/>
              <w:left w:val="single" w:color="000000" w:sz="4" w:space="0"/>
              <w:bottom w:val="single" w:color="000000" w:sz="4" w:space="0"/>
              <w:right w:val="single" w:color="000000" w:sz="4" w:space="0"/>
            </w:tcBorders>
            <w:noWrap/>
            <w:vAlign w:val="center"/>
          </w:tcPr>
          <w:p w14:paraId="06127C24">
            <w:pPr>
              <w:keepNext w:val="0"/>
              <w:keepLines w:val="0"/>
              <w:pageBreakBefore w:val="0"/>
              <w:kinsoku/>
              <w:wordWrap/>
              <w:overflowPunct/>
              <w:topLinePunct w:val="0"/>
              <w:autoSpaceDE/>
              <w:autoSpaceDN/>
              <w:bidi w:val="0"/>
              <w:adjustRightInd/>
              <w:snapToGrid/>
              <w:spacing w:line="360" w:lineRule="auto"/>
              <w:jc w:val="center"/>
              <w:rPr>
                <w:rFonts w:hint="eastAsia" w:ascii="黑体" w:hAnsi="黑体" w:eastAsia="黑体" w:cs="黑体"/>
                <w:b/>
                <w:bCs/>
                <w:i w:val="0"/>
                <w:iCs w:val="0"/>
                <w:color w:val="000000"/>
                <w:sz w:val="18"/>
                <w:szCs w:val="18"/>
                <w:highlight w:val="none"/>
                <w:u w:val="none"/>
              </w:rPr>
            </w:pPr>
          </w:p>
        </w:tc>
        <w:tc>
          <w:tcPr>
            <w:tcW w:w="283" w:type="pct"/>
            <w:vMerge w:val="restart"/>
            <w:tcBorders>
              <w:top w:val="single" w:color="000000" w:sz="4" w:space="0"/>
              <w:left w:val="single" w:color="000000" w:sz="4" w:space="0"/>
              <w:bottom w:val="single" w:color="000000" w:sz="4" w:space="0"/>
              <w:right w:val="single" w:color="000000" w:sz="4" w:space="0"/>
            </w:tcBorders>
            <w:noWrap/>
            <w:vAlign w:val="center"/>
          </w:tcPr>
          <w:p w14:paraId="78293ABE">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喉科器械</w:t>
            </w:r>
          </w:p>
        </w:tc>
        <w:tc>
          <w:tcPr>
            <w:tcW w:w="3850" w:type="pct"/>
            <w:tcBorders>
              <w:top w:val="single" w:color="000000" w:sz="4" w:space="0"/>
              <w:left w:val="single" w:color="000000" w:sz="4" w:space="0"/>
              <w:bottom w:val="single" w:color="000000" w:sz="4" w:space="0"/>
              <w:right w:val="single" w:color="000000" w:sz="4" w:space="0"/>
            </w:tcBorders>
            <w:noWrap w:val="0"/>
            <w:vAlign w:val="center"/>
          </w:tcPr>
          <w:p w14:paraId="2C9FCE16">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1.总体长度310mm，头宽2.5mm，管部长230mm,管径2mm。</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2.与患者接触部分的金属材料采用医用不锈钢材料制造，该材料化学成分符合GB/T 3280-2015，应经热处理，热处理硬度为40-48HRC。</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3.器械表面亚光处理，不得有锋棱、毛刺及明显的碰伤和划痕，其表面粗糙度Ra之值为：不大于0.8μm。</w:t>
            </w:r>
          </w:p>
        </w:tc>
        <w:tc>
          <w:tcPr>
            <w:tcW w:w="200" w:type="pct"/>
            <w:tcBorders>
              <w:top w:val="single" w:color="000000" w:sz="4" w:space="0"/>
              <w:left w:val="single" w:color="000000" w:sz="4" w:space="0"/>
              <w:bottom w:val="single" w:color="000000" w:sz="4" w:space="0"/>
              <w:right w:val="single" w:color="000000" w:sz="4" w:space="0"/>
            </w:tcBorders>
            <w:noWrap w:val="0"/>
            <w:vAlign w:val="center"/>
          </w:tcPr>
          <w:p w14:paraId="024A1A7A">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2</w:t>
            </w:r>
          </w:p>
        </w:tc>
        <w:tc>
          <w:tcPr>
            <w:tcW w:w="266" w:type="pct"/>
            <w:tcBorders>
              <w:top w:val="single" w:color="000000" w:sz="4" w:space="0"/>
              <w:left w:val="single" w:color="000000" w:sz="4" w:space="0"/>
              <w:bottom w:val="single" w:color="000000" w:sz="4" w:space="0"/>
              <w:right w:val="single" w:color="000000" w:sz="4" w:space="0"/>
            </w:tcBorders>
            <w:noWrap w:val="0"/>
            <w:vAlign w:val="center"/>
          </w:tcPr>
          <w:p w14:paraId="7F60D8D9">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把</w:t>
            </w:r>
          </w:p>
        </w:tc>
      </w:tr>
      <w:tr w14:paraId="6FE690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98" w:hRule="atLeast"/>
        </w:trPr>
        <w:tc>
          <w:tcPr>
            <w:tcW w:w="400" w:type="pct"/>
            <w:vMerge w:val="continue"/>
            <w:tcBorders>
              <w:top w:val="single" w:color="000000" w:sz="4" w:space="0"/>
              <w:left w:val="single" w:color="000000" w:sz="4" w:space="0"/>
              <w:bottom w:val="single" w:color="000000" w:sz="4" w:space="0"/>
              <w:right w:val="single" w:color="000000" w:sz="4" w:space="0"/>
            </w:tcBorders>
            <w:noWrap/>
            <w:vAlign w:val="center"/>
          </w:tcPr>
          <w:p w14:paraId="34ADE6C2">
            <w:pPr>
              <w:keepNext w:val="0"/>
              <w:keepLines w:val="0"/>
              <w:pageBreakBefore w:val="0"/>
              <w:kinsoku/>
              <w:wordWrap/>
              <w:overflowPunct/>
              <w:topLinePunct w:val="0"/>
              <w:autoSpaceDE/>
              <w:autoSpaceDN/>
              <w:bidi w:val="0"/>
              <w:adjustRightInd/>
              <w:snapToGrid/>
              <w:spacing w:line="360" w:lineRule="auto"/>
              <w:jc w:val="center"/>
              <w:rPr>
                <w:rFonts w:hint="eastAsia" w:ascii="黑体" w:hAnsi="黑体" w:eastAsia="黑体" w:cs="黑体"/>
                <w:b/>
                <w:bCs/>
                <w:i w:val="0"/>
                <w:iCs w:val="0"/>
                <w:color w:val="000000"/>
                <w:sz w:val="18"/>
                <w:szCs w:val="18"/>
                <w:highlight w:val="none"/>
                <w:u w:val="none"/>
              </w:rPr>
            </w:pPr>
          </w:p>
        </w:tc>
        <w:tc>
          <w:tcPr>
            <w:tcW w:w="283" w:type="pct"/>
            <w:vMerge w:val="continue"/>
            <w:tcBorders>
              <w:top w:val="single" w:color="000000" w:sz="4" w:space="0"/>
              <w:left w:val="single" w:color="000000" w:sz="4" w:space="0"/>
              <w:bottom w:val="single" w:color="000000" w:sz="4" w:space="0"/>
              <w:right w:val="single" w:color="000000" w:sz="4" w:space="0"/>
            </w:tcBorders>
            <w:noWrap/>
            <w:vAlign w:val="center"/>
          </w:tcPr>
          <w:p w14:paraId="2C675343">
            <w:pPr>
              <w:keepNext w:val="0"/>
              <w:keepLines w:val="0"/>
              <w:pageBreakBefore w:val="0"/>
              <w:kinsoku/>
              <w:wordWrap/>
              <w:overflowPunct/>
              <w:topLinePunct w:val="0"/>
              <w:autoSpaceDE/>
              <w:autoSpaceDN/>
              <w:bidi w:val="0"/>
              <w:adjustRightInd/>
              <w:snapToGrid/>
              <w:spacing w:line="360" w:lineRule="auto"/>
              <w:jc w:val="center"/>
              <w:rPr>
                <w:rFonts w:hint="eastAsia" w:ascii="黑体" w:hAnsi="黑体" w:eastAsia="黑体" w:cs="黑体"/>
                <w:i w:val="0"/>
                <w:iCs w:val="0"/>
                <w:color w:val="000000"/>
                <w:sz w:val="18"/>
                <w:szCs w:val="18"/>
                <w:highlight w:val="none"/>
                <w:u w:val="none"/>
              </w:rPr>
            </w:pPr>
          </w:p>
        </w:tc>
        <w:tc>
          <w:tcPr>
            <w:tcW w:w="3850" w:type="pct"/>
            <w:tcBorders>
              <w:top w:val="single" w:color="000000" w:sz="4" w:space="0"/>
              <w:left w:val="single" w:color="000000" w:sz="4" w:space="0"/>
              <w:bottom w:val="single" w:color="000000" w:sz="4" w:space="0"/>
              <w:right w:val="single" w:color="000000" w:sz="4" w:space="0"/>
            </w:tcBorders>
            <w:noWrap w:val="0"/>
            <w:vAlign w:val="center"/>
          </w:tcPr>
          <w:p w14:paraId="00A0C57D">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1.总长250mm，角弯135°，弯高5.25mm。</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2.与患者接触部分的金属材料采用医用不锈钢材料制造，该材料化学成分符合GB/T 3280-2015，应经热处理，其硬度为40-48HRC。</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3.器械表面亚光处理，不得有锋棱、毛刺及明显的碰伤和划痕，其表面粗糙度Ra之值为：不大于0.8μm。</w:t>
            </w:r>
          </w:p>
        </w:tc>
        <w:tc>
          <w:tcPr>
            <w:tcW w:w="200" w:type="pct"/>
            <w:tcBorders>
              <w:top w:val="single" w:color="000000" w:sz="4" w:space="0"/>
              <w:left w:val="single" w:color="000000" w:sz="4" w:space="0"/>
              <w:bottom w:val="single" w:color="000000" w:sz="4" w:space="0"/>
              <w:right w:val="single" w:color="000000" w:sz="4" w:space="0"/>
            </w:tcBorders>
            <w:noWrap w:val="0"/>
            <w:vAlign w:val="center"/>
          </w:tcPr>
          <w:p w14:paraId="305FFB1C">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2</w:t>
            </w:r>
          </w:p>
        </w:tc>
        <w:tc>
          <w:tcPr>
            <w:tcW w:w="266" w:type="pct"/>
            <w:tcBorders>
              <w:top w:val="single" w:color="000000" w:sz="4" w:space="0"/>
              <w:left w:val="single" w:color="000000" w:sz="4" w:space="0"/>
              <w:bottom w:val="single" w:color="000000" w:sz="4" w:space="0"/>
              <w:right w:val="single" w:color="000000" w:sz="4" w:space="0"/>
            </w:tcBorders>
            <w:noWrap w:val="0"/>
            <w:vAlign w:val="center"/>
          </w:tcPr>
          <w:p w14:paraId="51D2D99E">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把</w:t>
            </w:r>
          </w:p>
        </w:tc>
      </w:tr>
      <w:tr w14:paraId="6429F4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98" w:hRule="atLeast"/>
        </w:trPr>
        <w:tc>
          <w:tcPr>
            <w:tcW w:w="400" w:type="pct"/>
            <w:vMerge w:val="continue"/>
            <w:tcBorders>
              <w:top w:val="single" w:color="000000" w:sz="4" w:space="0"/>
              <w:left w:val="single" w:color="000000" w:sz="4" w:space="0"/>
              <w:bottom w:val="single" w:color="000000" w:sz="4" w:space="0"/>
              <w:right w:val="single" w:color="000000" w:sz="4" w:space="0"/>
            </w:tcBorders>
            <w:noWrap/>
            <w:vAlign w:val="center"/>
          </w:tcPr>
          <w:p w14:paraId="535F7F2B">
            <w:pPr>
              <w:keepNext w:val="0"/>
              <w:keepLines w:val="0"/>
              <w:pageBreakBefore w:val="0"/>
              <w:kinsoku/>
              <w:wordWrap/>
              <w:overflowPunct/>
              <w:topLinePunct w:val="0"/>
              <w:autoSpaceDE/>
              <w:autoSpaceDN/>
              <w:bidi w:val="0"/>
              <w:adjustRightInd/>
              <w:snapToGrid/>
              <w:spacing w:line="360" w:lineRule="auto"/>
              <w:jc w:val="center"/>
              <w:rPr>
                <w:rFonts w:hint="eastAsia" w:ascii="黑体" w:hAnsi="黑体" w:eastAsia="黑体" w:cs="黑体"/>
                <w:b/>
                <w:bCs/>
                <w:i w:val="0"/>
                <w:iCs w:val="0"/>
                <w:color w:val="000000"/>
                <w:sz w:val="18"/>
                <w:szCs w:val="18"/>
                <w:highlight w:val="none"/>
                <w:u w:val="none"/>
              </w:rPr>
            </w:pPr>
          </w:p>
        </w:tc>
        <w:tc>
          <w:tcPr>
            <w:tcW w:w="283" w:type="pct"/>
            <w:vMerge w:val="continue"/>
            <w:tcBorders>
              <w:top w:val="single" w:color="000000" w:sz="4" w:space="0"/>
              <w:left w:val="single" w:color="000000" w:sz="4" w:space="0"/>
              <w:bottom w:val="single" w:color="000000" w:sz="4" w:space="0"/>
              <w:right w:val="single" w:color="000000" w:sz="4" w:space="0"/>
            </w:tcBorders>
            <w:noWrap/>
            <w:vAlign w:val="center"/>
          </w:tcPr>
          <w:p w14:paraId="677CEC6A">
            <w:pPr>
              <w:keepNext w:val="0"/>
              <w:keepLines w:val="0"/>
              <w:pageBreakBefore w:val="0"/>
              <w:kinsoku/>
              <w:wordWrap/>
              <w:overflowPunct/>
              <w:topLinePunct w:val="0"/>
              <w:autoSpaceDE/>
              <w:autoSpaceDN/>
              <w:bidi w:val="0"/>
              <w:adjustRightInd/>
              <w:snapToGrid/>
              <w:spacing w:line="360" w:lineRule="auto"/>
              <w:jc w:val="center"/>
              <w:rPr>
                <w:rFonts w:hint="eastAsia" w:ascii="黑体" w:hAnsi="黑体" w:eastAsia="黑体" w:cs="黑体"/>
                <w:i w:val="0"/>
                <w:iCs w:val="0"/>
                <w:color w:val="000000"/>
                <w:sz w:val="18"/>
                <w:szCs w:val="18"/>
                <w:highlight w:val="none"/>
                <w:u w:val="none"/>
              </w:rPr>
            </w:pPr>
          </w:p>
        </w:tc>
        <w:tc>
          <w:tcPr>
            <w:tcW w:w="3850" w:type="pct"/>
            <w:tcBorders>
              <w:top w:val="single" w:color="000000" w:sz="4" w:space="0"/>
              <w:left w:val="single" w:color="000000" w:sz="4" w:space="0"/>
              <w:bottom w:val="single" w:color="000000" w:sz="4" w:space="0"/>
              <w:right w:val="single" w:color="000000" w:sz="4" w:space="0"/>
            </w:tcBorders>
            <w:noWrap w:val="0"/>
            <w:vAlign w:val="center"/>
          </w:tcPr>
          <w:p w14:paraId="6B93008E">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1.总体长度250mm，直型，三角刃。</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2.与患者接触部分的金属材料采用医用不锈钢材料制造，该材料化学成分符合GB/T 3280-2015，应经热处理，热处理硬度为40-48HRC。</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3.器械表面亚光处理，不得有锋棱、毛刺及明显的碰伤和划痕，其表面粗糙度Ra之值为：不大于0.8μm。</w:t>
            </w:r>
          </w:p>
        </w:tc>
        <w:tc>
          <w:tcPr>
            <w:tcW w:w="200" w:type="pct"/>
            <w:tcBorders>
              <w:top w:val="single" w:color="000000" w:sz="4" w:space="0"/>
              <w:left w:val="single" w:color="000000" w:sz="4" w:space="0"/>
              <w:bottom w:val="single" w:color="000000" w:sz="4" w:space="0"/>
              <w:right w:val="single" w:color="000000" w:sz="4" w:space="0"/>
            </w:tcBorders>
            <w:noWrap w:val="0"/>
            <w:vAlign w:val="center"/>
          </w:tcPr>
          <w:p w14:paraId="5F02D431">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2</w:t>
            </w:r>
          </w:p>
        </w:tc>
        <w:tc>
          <w:tcPr>
            <w:tcW w:w="266" w:type="pct"/>
            <w:tcBorders>
              <w:top w:val="single" w:color="000000" w:sz="4" w:space="0"/>
              <w:left w:val="single" w:color="000000" w:sz="4" w:space="0"/>
              <w:bottom w:val="single" w:color="000000" w:sz="4" w:space="0"/>
              <w:right w:val="single" w:color="000000" w:sz="4" w:space="0"/>
            </w:tcBorders>
            <w:noWrap w:val="0"/>
            <w:vAlign w:val="center"/>
          </w:tcPr>
          <w:p w14:paraId="7E8D1CB5">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把</w:t>
            </w:r>
          </w:p>
        </w:tc>
      </w:tr>
      <w:tr w14:paraId="5A7020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98" w:hRule="atLeast"/>
        </w:trPr>
        <w:tc>
          <w:tcPr>
            <w:tcW w:w="400" w:type="pct"/>
            <w:vMerge w:val="continue"/>
            <w:tcBorders>
              <w:top w:val="single" w:color="000000" w:sz="4" w:space="0"/>
              <w:left w:val="single" w:color="000000" w:sz="4" w:space="0"/>
              <w:bottom w:val="single" w:color="000000" w:sz="4" w:space="0"/>
              <w:right w:val="single" w:color="000000" w:sz="4" w:space="0"/>
            </w:tcBorders>
            <w:noWrap/>
            <w:vAlign w:val="center"/>
          </w:tcPr>
          <w:p w14:paraId="46F54E00">
            <w:pPr>
              <w:keepNext w:val="0"/>
              <w:keepLines w:val="0"/>
              <w:pageBreakBefore w:val="0"/>
              <w:kinsoku/>
              <w:wordWrap/>
              <w:overflowPunct/>
              <w:topLinePunct w:val="0"/>
              <w:autoSpaceDE/>
              <w:autoSpaceDN/>
              <w:bidi w:val="0"/>
              <w:adjustRightInd/>
              <w:snapToGrid/>
              <w:spacing w:line="360" w:lineRule="auto"/>
              <w:jc w:val="center"/>
              <w:rPr>
                <w:rFonts w:hint="eastAsia" w:ascii="黑体" w:hAnsi="黑体" w:eastAsia="黑体" w:cs="黑体"/>
                <w:b/>
                <w:bCs/>
                <w:i w:val="0"/>
                <w:iCs w:val="0"/>
                <w:color w:val="000000"/>
                <w:sz w:val="18"/>
                <w:szCs w:val="18"/>
                <w:highlight w:val="none"/>
                <w:u w:val="none"/>
              </w:rPr>
            </w:pPr>
          </w:p>
        </w:tc>
        <w:tc>
          <w:tcPr>
            <w:tcW w:w="283" w:type="pct"/>
            <w:vMerge w:val="continue"/>
            <w:tcBorders>
              <w:top w:val="single" w:color="000000" w:sz="4" w:space="0"/>
              <w:left w:val="single" w:color="000000" w:sz="4" w:space="0"/>
              <w:bottom w:val="single" w:color="000000" w:sz="4" w:space="0"/>
              <w:right w:val="single" w:color="000000" w:sz="4" w:space="0"/>
            </w:tcBorders>
            <w:noWrap/>
            <w:vAlign w:val="center"/>
          </w:tcPr>
          <w:p w14:paraId="623B270D">
            <w:pPr>
              <w:keepNext w:val="0"/>
              <w:keepLines w:val="0"/>
              <w:pageBreakBefore w:val="0"/>
              <w:kinsoku/>
              <w:wordWrap/>
              <w:overflowPunct/>
              <w:topLinePunct w:val="0"/>
              <w:autoSpaceDE/>
              <w:autoSpaceDN/>
              <w:bidi w:val="0"/>
              <w:adjustRightInd/>
              <w:snapToGrid/>
              <w:spacing w:line="360" w:lineRule="auto"/>
              <w:jc w:val="center"/>
              <w:rPr>
                <w:rFonts w:hint="eastAsia" w:ascii="黑体" w:hAnsi="黑体" w:eastAsia="黑体" w:cs="黑体"/>
                <w:i w:val="0"/>
                <w:iCs w:val="0"/>
                <w:color w:val="000000"/>
                <w:sz w:val="18"/>
                <w:szCs w:val="18"/>
                <w:highlight w:val="none"/>
                <w:u w:val="none"/>
              </w:rPr>
            </w:pPr>
          </w:p>
        </w:tc>
        <w:tc>
          <w:tcPr>
            <w:tcW w:w="3850" w:type="pct"/>
            <w:tcBorders>
              <w:top w:val="single" w:color="000000" w:sz="4" w:space="0"/>
              <w:left w:val="single" w:color="000000" w:sz="4" w:space="0"/>
              <w:bottom w:val="single" w:color="000000" w:sz="4" w:space="0"/>
              <w:right w:val="single" w:color="000000" w:sz="4" w:space="0"/>
            </w:tcBorders>
            <w:noWrap w:val="0"/>
            <w:vAlign w:val="center"/>
          </w:tcPr>
          <w:p w14:paraId="0317A214">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1.总长120mm，与喉钩、喉刀、喉针配用。</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2.与人体接触部位材料采用不锈钢材料，该材料化学成分应符合GB/T 3280-2015，应经热处理，其硬度为40HRC-48HRC。</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3.器械表面亚光处理，不得有锋棱、毛刺及明显的碰伤和划痕，其表面粗糙度Ra之值为：不大于0.8μm。</w:t>
            </w:r>
          </w:p>
        </w:tc>
        <w:tc>
          <w:tcPr>
            <w:tcW w:w="200" w:type="pct"/>
            <w:tcBorders>
              <w:top w:val="single" w:color="000000" w:sz="4" w:space="0"/>
              <w:left w:val="single" w:color="000000" w:sz="4" w:space="0"/>
              <w:bottom w:val="single" w:color="000000" w:sz="4" w:space="0"/>
              <w:right w:val="single" w:color="000000" w:sz="4" w:space="0"/>
            </w:tcBorders>
            <w:noWrap w:val="0"/>
            <w:vAlign w:val="center"/>
          </w:tcPr>
          <w:p w14:paraId="6031C206">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2</w:t>
            </w:r>
          </w:p>
        </w:tc>
        <w:tc>
          <w:tcPr>
            <w:tcW w:w="266" w:type="pct"/>
            <w:tcBorders>
              <w:top w:val="single" w:color="000000" w:sz="4" w:space="0"/>
              <w:left w:val="single" w:color="000000" w:sz="4" w:space="0"/>
              <w:bottom w:val="single" w:color="000000" w:sz="4" w:space="0"/>
              <w:right w:val="single" w:color="000000" w:sz="4" w:space="0"/>
            </w:tcBorders>
            <w:noWrap w:val="0"/>
            <w:vAlign w:val="center"/>
          </w:tcPr>
          <w:p w14:paraId="176F26C8">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把</w:t>
            </w:r>
          </w:p>
        </w:tc>
      </w:tr>
      <w:tr w14:paraId="5F5E8D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96" w:hRule="atLeast"/>
        </w:trPr>
        <w:tc>
          <w:tcPr>
            <w:tcW w:w="400" w:type="pct"/>
            <w:vMerge w:val="continue"/>
            <w:tcBorders>
              <w:top w:val="single" w:color="000000" w:sz="4" w:space="0"/>
              <w:left w:val="single" w:color="000000" w:sz="4" w:space="0"/>
              <w:bottom w:val="single" w:color="000000" w:sz="4" w:space="0"/>
              <w:right w:val="single" w:color="000000" w:sz="4" w:space="0"/>
            </w:tcBorders>
            <w:noWrap/>
            <w:vAlign w:val="center"/>
          </w:tcPr>
          <w:p w14:paraId="1D25AB45">
            <w:pPr>
              <w:keepNext w:val="0"/>
              <w:keepLines w:val="0"/>
              <w:pageBreakBefore w:val="0"/>
              <w:kinsoku/>
              <w:wordWrap/>
              <w:overflowPunct/>
              <w:topLinePunct w:val="0"/>
              <w:autoSpaceDE/>
              <w:autoSpaceDN/>
              <w:bidi w:val="0"/>
              <w:adjustRightInd/>
              <w:snapToGrid/>
              <w:spacing w:line="360" w:lineRule="auto"/>
              <w:jc w:val="center"/>
              <w:rPr>
                <w:rFonts w:hint="eastAsia" w:ascii="黑体" w:hAnsi="黑体" w:eastAsia="黑体" w:cs="黑体"/>
                <w:b/>
                <w:bCs/>
                <w:i w:val="0"/>
                <w:iCs w:val="0"/>
                <w:color w:val="000000"/>
                <w:sz w:val="18"/>
                <w:szCs w:val="18"/>
                <w:highlight w:val="none"/>
                <w:u w:val="none"/>
              </w:rPr>
            </w:pPr>
          </w:p>
        </w:tc>
        <w:tc>
          <w:tcPr>
            <w:tcW w:w="283" w:type="pct"/>
            <w:vMerge w:val="continue"/>
            <w:tcBorders>
              <w:top w:val="single" w:color="000000" w:sz="4" w:space="0"/>
              <w:left w:val="single" w:color="000000" w:sz="4" w:space="0"/>
              <w:bottom w:val="single" w:color="000000" w:sz="4" w:space="0"/>
              <w:right w:val="single" w:color="000000" w:sz="4" w:space="0"/>
            </w:tcBorders>
            <w:noWrap/>
            <w:vAlign w:val="center"/>
          </w:tcPr>
          <w:p w14:paraId="709E0B4F">
            <w:pPr>
              <w:keepNext w:val="0"/>
              <w:keepLines w:val="0"/>
              <w:pageBreakBefore w:val="0"/>
              <w:kinsoku/>
              <w:wordWrap/>
              <w:overflowPunct/>
              <w:topLinePunct w:val="0"/>
              <w:autoSpaceDE/>
              <w:autoSpaceDN/>
              <w:bidi w:val="0"/>
              <w:adjustRightInd/>
              <w:snapToGrid/>
              <w:spacing w:line="360" w:lineRule="auto"/>
              <w:jc w:val="center"/>
              <w:rPr>
                <w:rFonts w:hint="eastAsia" w:ascii="黑体" w:hAnsi="黑体" w:eastAsia="黑体" w:cs="黑体"/>
                <w:i w:val="0"/>
                <w:iCs w:val="0"/>
                <w:color w:val="000000"/>
                <w:sz w:val="18"/>
                <w:szCs w:val="18"/>
                <w:highlight w:val="none"/>
                <w:u w:val="none"/>
              </w:rPr>
            </w:pPr>
          </w:p>
        </w:tc>
        <w:tc>
          <w:tcPr>
            <w:tcW w:w="3850" w:type="pct"/>
            <w:tcBorders>
              <w:top w:val="single" w:color="000000" w:sz="4" w:space="0"/>
              <w:left w:val="single" w:color="000000" w:sz="4" w:space="0"/>
              <w:bottom w:val="single" w:color="000000" w:sz="4" w:space="0"/>
              <w:right w:val="single" w:color="000000" w:sz="4" w:space="0"/>
            </w:tcBorders>
            <w:noWrap w:val="0"/>
            <w:vAlign w:val="center"/>
          </w:tcPr>
          <w:p w14:paraId="0FD83B9E">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1.工作长度230mm，头宽2.5mm，连接管式，连接管1管径2mm，头部碗型，头部直型。</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2.与患者接触部分的金属材料采用医用不锈钢材料制造，该材料化学成分符合GB/T 3280-2015，应经热处理，热处理硬度为40-48HRC。</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3.器械表面亚光处理，不得有锋棱、毛刺及明显的碰伤和划痕，其表面粗糙度Ra之值为：不大于0.8μm。</w:t>
            </w:r>
          </w:p>
        </w:tc>
        <w:tc>
          <w:tcPr>
            <w:tcW w:w="200" w:type="pct"/>
            <w:tcBorders>
              <w:top w:val="single" w:color="000000" w:sz="4" w:space="0"/>
              <w:left w:val="single" w:color="000000" w:sz="4" w:space="0"/>
              <w:bottom w:val="single" w:color="000000" w:sz="4" w:space="0"/>
              <w:right w:val="single" w:color="000000" w:sz="4" w:space="0"/>
            </w:tcBorders>
            <w:noWrap w:val="0"/>
            <w:vAlign w:val="center"/>
          </w:tcPr>
          <w:p w14:paraId="0B55B1A2">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2</w:t>
            </w:r>
          </w:p>
        </w:tc>
        <w:tc>
          <w:tcPr>
            <w:tcW w:w="266" w:type="pct"/>
            <w:tcBorders>
              <w:top w:val="single" w:color="000000" w:sz="4" w:space="0"/>
              <w:left w:val="single" w:color="000000" w:sz="4" w:space="0"/>
              <w:bottom w:val="single" w:color="000000" w:sz="4" w:space="0"/>
              <w:right w:val="single" w:color="000000" w:sz="4" w:space="0"/>
            </w:tcBorders>
            <w:noWrap w:val="0"/>
            <w:vAlign w:val="center"/>
          </w:tcPr>
          <w:p w14:paraId="456F15F5">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把</w:t>
            </w:r>
          </w:p>
        </w:tc>
      </w:tr>
      <w:tr w14:paraId="239591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96" w:hRule="atLeast"/>
        </w:trPr>
        <w:tc>
          <w:tcPr>
            <w:tcW w:w="400" w:type="pct"/>
            <w:vMerge w:val="continue"/>
            <w:tcBorders>
              <w:top w:val="single" w:color="000000" w:sz="4" w:space="0"/>
              <w:left w:val="single" w:color="000000" w:sz="4" w:space="0"/>
              <w:bottom w:val="single" w:color="000000" w:sz="4" w:space="0"/>
              <w:right w:val="single" w:color="000000" w:sz="4" w:space="0"/>
            </w:tcBorders>
            <w:noWrap/>
            <w:vAlign w:val="center"/>
          </w:tcPr>
          <w:p w14:paraId="57A73B9C">
            <w:pPr>
              <w:keepNext w:val="0"/>
              <w:keepLines w:val="0"/>
              <w:pageBreakBefore w:val="0"/>
              <w:kinsoku/>
              <w:wordWrap/>
              <w:overflowPunct/>
              <w:topLinePunct w:val="0"/>
              <w:autoSpaceDE/>
              <w:autoSpaceDN/>
              <w:bidi w:val="0"/>
              <w:adjustRightInd/>
              <w:snapToGrid/>
              <w:spacing w:line="360" w:lineRule="auto"/>
              <w:jc w:val="center"/>
              <w:rPr>
                <w:rFonts w:hint="eastAsia" w:ascii="黑体" w:hAnsi="黑体" w:eastAsia="黑体" w:cs="黑体"/>
                <w:b/>
                <w:bCs/>
                <w:i w:val="0"/>
                <w:iCs w:val="0"/>
                <w:color w:val="000000"/>
                <w:sz w:val="18"/>
                <w:szCs w:val="18"/>
                <w:highlight w:val="none"/>
                <w:u w:val="none"/>
              </w:rPr>
            </w:pPr>
          </w:p>
        </w:tc>
        <w:tc>
          <w:tcPr>
            <w:tcW w:w="283" w:type="pct"/>
            <w:vMerge w:val="continue"/>
            <w:tcBorders>
              <w:top w:val="single" w:color="000000" w:sz="4" w:space="0"/>
              <w:left w:val="single" w:color="000000" w:sz="4" w:space="0"/>
              <w:bottom w:val="single" w:color="000000" w:sz="4" w:space="0"/>
              <w:right w:val="single" w:color="000000" w:sz="4" w:space="0"/>
            </w:tcBorders>
            <w:noWrap/>
            <w:vAlign w:val="center"/>
          </w:tcPr>
          <w:p w14:paraId="21FF80C8">
            <w:pPr>
              <w:keepNext w:val="0"/>
              <w:keepLines w:val="0"/>
              <w:pageBreakBefore w:val="0"/>
              <w:kinsoku/>
              <w:wordWrap/>
              <w:overflowPunct/>
              <w:topLinePunct w:val="0"/>
              <w:autoSpaceDE/>
              <w:autoSpaceDN/>
              <w:bidi w:val="0"/>
              <w:adjustRightInd/>
              <w:snapToGrid/>
              <w:spacing w:line="360" w:lineRule="auto"/>
              <w:jc w:val="center"/>
              <w:rPr>
                <w:rFonts w:hint="eastAsia" w:ascii="黑体" w:hAnsi="黑体" w:eastAsia="黑体" w:cs="黑体"/>
                <w:i w:val="0"/>
                <w:iCs w:val="0"/>
                <w:color w:val="000000"/>
                <w:sz w:val="18"/>
                <w:szCs w:val="18"/>
                <w:highlight w:val="none"/>
                <w:u w:val="none"/>
              </w:rPr>
            </w:pPr>
          </w:p>
        </w:tc>
        <w:tc>
          <w:tcPr>
            <w:tcW w:w="3850" w:type="pct"/>
            <w:tcBorders>
              <w:top w:val="single" w:color="000000" w:sz="4" w:space="0"/>
              <w:left w:val="single" w:color="000000" w:sz="4" w:space="0"/>
              <w:bottom w:val="single" w:color="000000" w:sz="4" w:space="0"/>
              <w:right w:val="single" w:color="000000" w:sz="4" w:space="0"/>
            </w:tcBorders>
            <w:noWrap w:val="0"/>
            <w:vAlign w:val="center"/>
          </w:tcPr>
          <w:p w14:paraId="1BF2DCEB">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1.工作长度230mm，头宽2.5mm，连接管式，连接管1管径2mm，头部碗型，头部直型。</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2.与患者接触部分的金属材料采用医用不锈钢材料制造，该材料化学成分符合GB/T 3280-2015，应经热处理，热处理硬度为40-48HRC。</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3.器械表面亚光处理，不得有锋棱、毛刺及明显的碰伤和划痕，其表面粗糙度Ra之值为：不大于0.8μm。</w:t>
            </w:r>
          </w:p>
        </w:tc>
        <w:tc>
          <w:tcPr>
            <w:tcW w:w="200" w:type="pct"/>
            <w:tcBorders>
              <w:top w:val="single" w:color="000000" w:sz="4" w:space="0"/>
              <w:left w:val="single" w:color="000000" w:sz="4" w:space="0"/>
              <w:bottom w:val="single" w:color="000000" w:sz="4" w:space="0"/>
              <w:right w:val="single" w:color="000000" w:sz="4" w:space="0"/>
            </w:tcBorders>
            <w:noWrap w:val="0"/>
            <w:vAlign w:val="center"/>
          </w:tcPr>
          <w:p w14:paraId="7AF6D708">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2</w:t>
            </w:r>
          </w:p>
        </w:tc>
        <w:tc>
          <w:tcPr>
            <w:tcW w:w="266" w:type="pct"/>
            <w:tcBorders>
              <w:top w:val="single" w:color="000000" w:sz="4" w:space="0"/>
              <w:left w:val="single" w:color="000000" w:sz="4" w:space="0"/>
              <w:bottom w:val="single" w:color="000000" w:sz="4" w:space="0"/>
              <w:right w:val="single" w:color="000000" w:sz="4" w:space="0"/>
            </w:tcBorders>
            <w:noWrap w:val="0"/>
            <w:vAlign w:val="center"/>
          </w:tcPr>
          <w:p w14:paraId="0A2341AC">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把</w:t>
            </w:r>
          </w:p>
        </w:tc>
      </w:tr>
      <w:tr w14:paraId="61931C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94" w:hRule="atLeast"/>
        </w:trPr>
        <w:tc>
          <w:tcPr>
            <w:tcW w:w="400" w:type="pct"/>
            <w:vMerge w:val="continue"/>
            <w:tcBorders>
              <w:top w:val="single" w:color="000000" w:sz="4" w:space="0"/>
              <w:left w:val="single" w:color="000000" w:sz="4" w:space="0"/>
              <w:bottom w:val="single" w:color="000000" w:sz="4" w:space="0"/>
              <w:right w:val="single" w:color="000000" w:sz="4" w:space="0"/>
            </w:tcBorders>
            <w:noWrap/>
            <w:vAlign w:val="center"/>
          </w:tcPr>
          <w:p w14:paraId="77631D2E">
            <w:pPr>
              <w:keepNext w:val="0"/>
              <w:keepLines w:val="0"/>
              <w:pageBreakBefore w:val="0"/>
              <w:kinsoku/>
              <w:wordWrap/>
              <w:overflowPunct/>
              <w:topLinePunct w:val="0"/>
              <w:autoSpaceDE/>
              <w:autoSpaceDN/>
              <w:bidi w:val="0"/>
              <w:adjustRightInd/>
              <w:snapToGrid/>
              <w:spacing w:line="360" w:lineRule="auto"/>
              <w:jc w:val="center"/>
              <w:rPr>
                <w:rFonts w:hint="eastAsia" w:ascii="黑体" w:hAnsi="黑体" w:eastAsia="黑体" w:cs="黑体"/>
                <w:b/>
                <w:bCs/>
                <w:i w:val="0"/>
                <w:iCs w:val="0"/>
                <w:color w:val="000000"/>
                <w:sz w:val="18"/>
                <w:szCs w:val="18"/>
                <w:highlight w:val="none"/>
                <w:u w:val="none"/>
              </w:rPr>
            </w:pPr>
          </w:p>
        </w:tc>
        <w:tc>
          <w:tcPr>
            <w:tcW w:w="283" w:type="pct"/>
            <w:vMerge w:val="restart"/>
            <w:tcBorders>
              <w:top w:val="single" w:color="000000" w:sz="4" w:space="0"/>
              <w:left w:val="single" w:color="000000" w:sz="4" w:space="0"/>
              <w:bottom w:val="single" w:color="000000" w:sz="4" w:space="0"/>
              <w:right w:val="single" w:color="000000" w:sz="4" w:space="0"/>
            </w:tcBorders>
            <w:noWrap/>
            <w:vAlign w:val="center"/>
          </w:tcPr>
          <w:p w14:paraId="1255C963">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鼻窦内窥镜</w:t>
            </w:r>
          </w:p>
        </w:tc>
        <w:tc>
          <w:tcPr>
            <w:tcW w:w="3850" w:type="pct"/>
            <w:tcBorders>
              <w:top w:val="single" w:color="000000" w:sz="4" w:space="0"/>
              <w:left w:val="single" w:color="000000" w:sz="4" w:space="0"/>
              <w:bottom w:val="single" w:color="000000" w:sz="4" w:space="0"/>
              <w:right w:val="single" w:color="000000" w:sz="4" w:space="0"/>
            </w:tcBorders>
            <w:noWrap w:val="0"/>
            <w:vAlign w:val="center"/>
          </w:tcPr>
          <w:p w14:paraId="2628DEDB">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1.直径4mm，工作长度175mm，视野方向0°，视场角80°，景深5mm-80mm。</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2.与患者接触部分的金属材料采用医用不锈钢材料制造，该材料化学成分符合YY/T0294.1-2016。</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3.镜体采用优质不锈钢材质，超强耐腐蚀。采用蓝宝石镜头，持久耐磨。</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4.高透亮度、高效率光传导、视野清晰、视场明亮。</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5.产品适用低温等离子灭菌。</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6.配有转换接头可与STORZ、OLYMPUS、WOLF、ACMI等所有主流导光束连接。</w:t>
            </w:r>
          </w:p>
        </w:tc>
        <w:tc>
          <w:tcPr>
            <w:tcW w:w="200" w:type="pct"/>
            <w:tcBorders>
              <w:top w:val="single" w:color="000000" w:sz="4" w:space="0"/>
              <w:left w:val="single" w:color="000000" w:sz="4" w:space="0"/>
              <w:bottom w:val="single" w:color="000000" w:sz="4" w:space="0"/>
              <w:right w:val="single" w:color="000000" w:sz="4" w:space="0"/>
            </w:tcBorders>
            <w:noWrap w:val="0"/>
            <w:vAlign w:val="center"/>
          </w:tcPr>
          <w:p w14:paraId="367DE1CB">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2</w:t>
            </w:r>
          </w:p>
        </w:tc>
        <w:tc>
          <w:tcPr>
            <w:tcW w:w="266" w:type="pct"/>
            <w:tcBorders>
              <w:top w:val="single" w:color="000000" w:sz="4" w:space="0"/>
              <w:left w:val="single" w:color="000000" w:sz="4" w:space="0"/>
              <w:bottom w:val="single" w:color="000000" w:sz="4" w:space="0"/>
              <w:right w:val="single" w:color="000000" w:sz="4" w:space="0"/>
            </w:tcBorders>
            <w:noWrap w:val="0"/>
            <w:vAlign w:val="center"/>
          </w:tcPr>
          <w:p w14:paraId="0C131023">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把</w:t>
            </w:r>
          </w:p>
        </w:tc>
      </w:tr>
      <w:tr w14:paraId="1EE909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94" w:hRule="atLeast"/>
        </w:trPr>
        <w:tc>
          <w:tcPr>
            <w:tcW w:w="400" w:type="pct"/>
            <w:vMerge w:val="continue"/>
            <w:tcBorders>
              <w:top w:val="single" w:color="000000" w:sz="4" w:space="0"/>
              <w:left w:val="single" w:color="000000" w:sz="4" w:space="0"/>
              <w:bottom w:val="single" w:color="000000" w:sz="4" w:space="0"/>
              <w:right w:val="single" w:color="000000" w:sz="4" w:space="0"/>
            </w:tcBorders>
            <w:noWrap/>
            <w:vAlign w:val="center"/>
          </w:tcPr>
          <w:p w14:paraId="3026FCCE">
            <w:pPr>
              <w:keepNext w:val="0"/>
              <w:keepLines w:val="0"/>
              <w:pageBreakBefore w:val="0"/>
              <w:kinsoku/>
              <w:wordWrap/>
              <w:overflowPunct/>
              <w:topLinePunct w:val="0"/>
              <w:autoSpaceDE/>
              <w:autoSpaceDN/>
              <w:bidi w:val="0"/>
              <w:adjustRightInd/>
              <w:snapToGrid/>
              <w:spacing w:line="360" w:lineRule="auto"/>
              <w:jc w:val="center"/>
              <w:rPr>
                <w:rFonts w:hint="eastAsia" w:ascii="黑体" w:hAnsi="黑体" w:eastAsia="黑体" w:cs="黑体"/>
                <w:b/>
                <w:bCs/>
                <w:i w:val="0"/>
                <w:iCs w:val="0"/>
                <w:color w:val="000000"/>
                <w:sz w:val="18"/>
                <w:szCs w:val="18"/>
                <w:highlight w:val="none"/>
                <w:u w:val="none"/>
              </w:rPr>
            </w:pPr>
          </w:p>
        </w:tc>
        <w:tc>
          <w:tcPr>
            <w:tcW w:w="283" w:type="pct"/>
            <w:vMerge w:val="continue"/>
            <w:tcBorders>
              <w:top w:val="single" w:color="000000" w:sz="4" w:space="0"/>
              <w:left w:val="single" w:color="000000" w:sz="4" w:space="0"/>
              <w:bottom w:val="single" w:color="000000" w:sz="4" w:space="0"/>
              <w:right w:val="single" w:color="000000" w:sz="4" w:space="0"/>
            </w:tcBorders>
            <w:noWrap/>
            <w:vAlign w:val="center"/>
          </w:tcPr>
          <w:p w14:paraId="692C13B7">
            <w:pPr>
              <w:keepNext w:val="0"/>
              <w:keepLines w:val="0"/>
              <w:pageBreakBefore w:val="0"/>
              <w:kinsoku/>
              <w:wordWrap/>
              <w:overflowPunct/>
              <w:topLinePunct w:val="0"/>
              <w:autoSpaceDE/>
              <w:autoSpaceDN/>
              <w:bidi w:val="0"/>
              <w:adjustRightInd/>
              <w:snapToGrid/>
              <w:spacing w:line="360" w:lineRule="auto"/>
              <w:jc w:val="center"/>
              <w:rPr>
                <w:rFonts w:hint="eastAsia" w:ascii="黑体" w:hAnsi="黑体" w:eastAsia="黑体" w:cs="黑体"/>
                <w:i w:val="0"/>
                <w:iCs w:val="0"/>
                <w:color w:val="000000"/>
                <w:sz w:val="18"/>
                <w:szCs w:val="18"/>
                <w:highlight w:val="none"/>
                <w:u w:val="none"/>
              </w:rPr>
            </w:pPr>
          </w:p>
        </w:tc>
        <w:tc>
          <w:tcPr>
            <w:tcW w:w="3850" w:type="pct"/>
            <w:tcBorders>
              <w:top w:val="single" w:color="000000" w:sz="4" w:space="0"/>
              <w:left w:val="single" w:color="000000" w:sz="4" w:space="0"/>
              <w:bottom w:val="single" w:color="000000" w:sz="4" w:space="0"/>
              <w:right w:val="single" w:color="000000" w:sz="4" w:space="0"/>
            </w:tcBorders>
            <w:noWrap w:val="0"/>
            <w:vAlign w:val="center"/>
          </w:tcPr>
          <w:p w14:paraId="2535D0FC">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1.直径4mm，工作长度175mm，视野方向30°，视场角80°，景深5mm-80mm。</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2.与患者接触部分的金属材料采用医用不锈钢材料制造，该材料化学成分符合YY/T0294.1-2016。</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3.镜体采用优质不锈钢材质，超强耐腐蚀。采用蓝宝石镜头，持久耐磨。</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4.高透亮度、高效率光传导、视野清晰、视场明亮。</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5.产品适用低温等离子灭菌。</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6.配有转换接头可与STORZ、OLYMPUS、WOLF、ACMI等所有主流导光束连接。</w:t>
            </w:r>
          </w:p>
        </w:tc>
        <w:tc>
          <w:tcPr>
            <w:tcW w:w="200" w:type="pct"/>
            <w:tcBorders>
              <w:top w:val="single" w:color="000000" w:sz="4" w:space="0"/>
              <w:left w:val="single" w:color="000000" w:sz="4" w:space="0"/>
              <w:bottom w:val="single" w:color="000000" w:sz="4" w:space="0"/>
              <w:right w:val="single" w:color="000000" w:sz="4" w:space="0"/>
            </w:tcBorders>
            <w:noWrap w:val="0"/>
            <w:vAlign w:val="center"/>
          </w:tcPr>
          <w:p w14:paraId="33750E17">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2</w:t>
            </w:r>
          </w:p>
        </w:tc>
        <w:tc>
          <w:tcPr>
            <w:tcW w:w="266" w:type="pct"/>
            <w:tcBorders>
              <w:top w:val="single" w:color="000000" w:sz="4" w:space="0"/>
              <w:left w:val="single" w:color="000000" w:sz="4" w:space="0"/>
              <w:bottom w:val="single" w:color="000000" w:sz="4" w:space="0"/>
              <w:right w:val="single" w:color="000000" w:sz="4" w:space="0"/>
            </w:tcBorders>
            <w:noWrap w:val="0"/>
            <w:vAlign w:val="center"/>
          </w:tcPr>
          <w:p w14:paraId="345481BE">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把</w:t>
            </w:r>
          </w:p>
        </w:tc>
      </w:tr>
      <w:tr w14:paraId="4CE28D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98" w:hRule="atLeast"/>
        </w:trPr>
        <w:tc>
          <w:tcPr>
            <w:tcW w:w="400" w:type="pct"/>
            <w:vMerge w:val="continue"/>
            <w:tcBorders>
              <w:top w:val="single" w:color="000000" w:sz="4" w:space="0"/>
              <w:left w:val="single" w:color="000000" w:sz="4" w:space="0"/>
              <w:bottom w:val="single" w:color="000000" w:sz="4" w:space="0"/>
              <w:right w:val="single" w:color="000000" w:sz="4" w:space="0"/>
            </w:tcBorders>
            <w:noWrap/>
            <w:vAlign w:val="center"/>
          </w:tcPr>
          <w:p w14:paraId="74D261A2">
            <w:pPr>
              <w:keepNext w:val="0"/>
              <w:keepLines w:val="0"/>
              <w:pageBreakBefore w:val="0"/>
              <w:kinsoku/>
              <w:wordWrap/>
              <w:overflowPunct/>
              <w:topLinePunct w:val="0"/>
              <w:autoSpaceDE/>
              <w:autoSpaceDN/>
              <w:bidi w:val="0"/>
              <w:adjustRightInd/>
              <w:snapToGrid/>
              <w:spacing w:line="360" w:lineRule="auto"/>
              <w:jc w:val="center"/>
              <w:rPr>
                <w:rFonts w:hint="eastAsia" w:ascii="黑体" w:hAnsi="黑体" w:eastAsia="黑体" w:cs="黑体"/>
                <w:b/>
                <w:bCs/>
                <w:i w:val="0"/>
                <w:iCs w:val="0"/>
                <w:color w:val="000000"/>
                <w:sz w:val="18"/>
                <w:szCs w:val="18"/>
                <w:highlight w:val="none"/>
                <w:u w:val="none"/>
              </w:rPr>
            </w:pPr>
          </w:p>
        </w:tc>
        <w:tc>
          <w:tcPr>
            <w:tcW w:w="283" w:type="pct"/>
            <w:vMerge w:val="restart"/>
            <w:tcBorders>
              <w:top w:val="single" w:color="000000" w:sz="4" w:space="0"/>
              <w:left w:val="single" w:color="000000" w:sz="4" w:space="0"/>
              <w:bottom w:val="single" w:color="000000" w:sz="4" w:space="0"/>
              <w:right w:val="single" w:color="000000" w:sz="4" w:space="0"/>
            </w:tcBorders>
            <w:noWrap/>
            <w:vAlign w:val="center"/>
          </w:tcPr>
          <w:p w14:paraId="625189DA">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耳内窥镜</w:t>
            </w:r>
          </w:p>
        </w:tc>
        <w:tc>
          <w:tcPr>
            <w:tcW w:w="3850" w:type="pct"/>
            <w:tcBorders>
              <w:top w:val="single" w:color="000000" w:sz="4" w:space="0"/>
              <w:left w:val="single" w:color="000000" w:sz="4" w:space="0"/>
              <w:bottom w:val="single" w:color="000000" w:sz="4" w:space="0"/>
              <w:right w:val="single" w:color="000000" w:sz="4" w:space="0"/>
            </w:tcBorders>
            <w:noWrap w:val="0"/>
            <w:vAlign w:val="center"/>
          </w:tcPr>
          <w:p w14:paraId="46E558FF">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1.直径2.7mm，工作长度100mm，视野方向0°，视场角50°，景深3mm-100mm。</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2.镜体采用优质不锈钢材质，超强耐腐蚀。</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3.视场质量:清晰、圆整、无（坏点、划痕、麻点、附着物）、无（重影、鬼影、闪烁、可见杂质、气泡）</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4.内镜自带多种光纤转接头。种类≥3种</w:t>
            </w:r>
          </w:p>
        </w:tc>
        <w:tc>
          <w:tcPr>
            <w:tcW w:w="200" w:type="pct"/>
            <w:tcBorders>
              <w:top w:val="single" w:color="000000" w:sz="4" w:space="0"/>
              <w:left w:val="single" w:color="000000" w:sz="4" w:space="0"/>
              <w:bottom w:val="single" w:color="000000" w:sz="4" w:space="0"/>
              <w:right w:val="single" w:color="000000" w:sz="4" w:space="0"/>
            </w:tcBorders>
            <w:noWrap w:val="0"/>
            <w:vAlign w:val="center"/>
          </w:tcPr>
          <w:p w14:paraId="2F840129">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2</w:t>
            </w:r>
          </w:p>
        </w:tc>
        <w:tc>
          <w:tcPr>
            <w:tcW w:w="266" w:type="pct"/>
            <w:tcBorders>
              <w:top w:val="single" w:color="000000" w:sz="4" w:space="0"/>
              <w:left w:val="single" w:color="000000" w:sz="4" w:space="0"/>
              <w:bottom w:val="single" w:color="000000" w:sz="4" w:space="0"/>
              <w:right w:val="single" w:color="000000" w:sz="4" w:space="0"/>
            </w:tcBorders>
            <w:noWrap w:val="0"/>
            <w:vAlign w:val="center"/>
          </w:tcPr>
          <w:p w14:paraId="5F06B39B">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把</w:t>
            </w:r>
          </w:p>
        </w:tc>
      </w:tr>
      <w:tr w14:paraId="6DAB78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400" w:type="pct"/>
            <w:vMerge w:val="continue"/>
            <w:tcBorders>
              <w:top w:val="single" w:color="000000" w:sz="4" w:space="0"/>
              <w:left w:val="single" w:color="000000" w:sz="4" w:space="0"/>
              <w:bottom w:val="single" w:color="000000" w:sz="4" w:space="0"/>
              <w:right w:val="single" w:color="000000" w:sz="4" w:space="0"/>
            </w:tcBorders>
            <w:noWrap/>
            <w:vAlign w:val="center"/>
          </w:tcPr>
          <w:p w14:paraId="204ACBD7">
            <w:pPr>
              <w:keepNext w:val="0"/>
              <w:keepLines w:val="0"/>
              <w:pageBreakBefore w:val="0"/>
              <w:kinsoku/>
              <w:wordWrap/>
              <w:overflowPunct/>
              <w:topLinePunct w:val="0"/>
              <w:autoSpaceDE/>
              <w:autoSpaceDN/>
              <w:bidi w:val="0"/>
              <w:adjustRightInd/>
              <w:snapToGrid/>
              <w:spacing w:line="360" w:lineRule="auto"/>
              <w:jc w:val="center"/>
              <w:rPr>
                <w:rFonts w:hint="eastAsia" w:ascii="黑体" w:hAnsi="黑体" w:eastAsia="黑体" w:cs="黑体"/>
                <w:b/>
                <w:bCs/>
                <w:i w:val="0"/>
                <w:iCs w:val="0"/>
                <w:color w:val="000000"/>
                <w:sz w:val="18"/>
                <w:szCs w:val="18"/>
                <w:highlight w:val="none"/>
                <w:u w:val="none"/>
              </w:rPr>
            </w:pPr>
          </w:p>
        </w:tc>
        <w:tc>
          <w:tcPr>
            <w:tcW w:w="283" w:type="pct"/>
            <w:vMerge w:val="continue"/>
            <w:tcBorders>
              <w:top w:val="single" w:color="000000" w:sz="4" w:space="0"/>
              <w:left w:val="single" w:color="000000" w:sz="4" w:space="0"/>
              <w:bottom w:val="single" w:color="000000" w:sz="4" w:space="0"/>
              <w:right w:val="single" w:color="000000" w:sz="4" w:space="0"/>
            </w:tcBorders>
            <w:noWrap/>
            <w:vAlign w:val="center"/>
          </w:tcPr>
          <w:p w14:paraId="6CF49849">
            <w:pPr>
              <w:keepNext w:val="0"/>
              <w:keepLines w:val="0"/>
              <w:pageBreakBefore w:val="0"/>
              <w:kinsoku/>
              <w:wordWrap/>
              <w:overflowPunct/>
              <w:topLinePunct w:val="0"/>
              <w:autoSpaceDE/>
              <w:autoSpaceDN/>
              <w:bidi w:val="0"/>
              <w:adjustRightInd/>
              <w:snapToGrid/>
              <w:spacing w:line="360" w:lineRule="auto"/>
              <w:jc w:val="center"/>
              <w:rPr>
                <w:rFonts w:hint="eastAsia" w:ascii="黑体" w:hAnsi="黑体" w:eastAsia="黑体" w:cs="黑体"/>
                <w:i w:val="0"/>
                <w:iCs w:val="0"/>
                <w:color w:val="000000"/>
                <w:sz w:val="18"/>
                <w:szCs w:val="18"/>
                <w:highlight w:val="none"/>
                <w:u w:val="none"/>
              </w:rPr>
            </w:pPr>
          </w:p>
        </w:tc>
        <w:tc>
          <w:tcPr>
            <w:tcW w:w="3850" w:type="pct"/>
            <w:tcBorders>
              <w:top w:val="single" w:color="000000" w:sz="4" w:space="0"/>
              <w:left w:val="single" w:color="000000" w:sz="4" w:space="0"/>
              <w:bottom w:val="single" w:color="000000" w:sz="4" w:space="0"/>
              <w:right w:val="single" w:color="000000" w:sz="4" w:space="0"/>
            </w:tcBorders>
            <w:noWrap w:val="0"/>
            <w:vAlign w:val="center"/>
          </w:tcPr>
          <w:p w14:paraId="18B2548E">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1.直径2.7mm，工作长度100mm，视野方向30°，视场角50°，景深3mm-100mm。</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2.镜体采用优质不锈钢材质，超强耐腐蚀。</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3.视场质量:清晰、圆整、无（坏点、划痕、麻点、附着物）、无（重影、鬼影、闪烁、可见杂质、气泡）</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4.内镜自带多种光纤转接头。种类≥3种</w:t>
            </w:r>
          </w:p>
        </w:tc>
        <w:tc>
          <w:tcPr>
            <w:tcW w:w="200" w:type="pct"/>
            <w:tcBorders>
              <w:top w:val="single" w:color="000000" w:sz="4" w:space="0"/>
              <w:left w:val="single" w:color="000000" w:sz="4" w:space="0"/>
              <w:bottom w:val="single" w:color="000000" w:sz="4" w:space="0"/>
              <w:right w:val="single" w:color="000000" w:sz="4" w:space="0"/>
            </w:tcBorders>
            <w:noWrap w:val="0"/>
            <w:vAlign w:val="center"/>
          </w:tcPr>
          <w:p w14:paraId="44750B83">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2</w:t>
            </w:r>
          </w:p>
        </w:tc>
        <w:tc>
          <w:tcPr>
            <w:tcW w:w="266" w:type="pct"/>
            <w:tcBorders>
              <w:top w:val="single" w:color="000000" w:sz="4" w:space="0"/>
              <w:left w:val="single" w:color="000000" w:sz="4" w:space="0"/>
              <w:bottom w:val="single" w:color="000000" w:sz="4" w:space="0"/>
              <w:right w:val="single" w:color="000000" w:sz="4" w:space="0"/>
            </w:tcBorders>
            <w:noWrap w:val="0"/>
            <w:vAlign w:val="center"/>
          </w:tcPr>
          <w:p w14:paraId="42A30570">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把</w:t>
            </w:r>
          </w:p>
        </w:tc>
      </w:tr>
      <w:tr w14:paraId="565EF9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98" w:hRule="atLeast"/>
        </w:trPr>
        <w:tc>
          <w:tcPr>
            <w:tcW w:w="400" w:type="pct"/>
            <w:vMerge w:val="continue"/>
            <w:tcBorders>
              <w:top w:val="single" w:color="000000" w:sz="4" w:space="0"/>
              <w:left w:val="single" w:color="000000" w:sz="4" w:space="0"/>
              <w:bottom w:val="single" w:color="000000" w:sz="4" w:space="0"/>
              <w:right w:val="single" w:color="000000" w:sz="4" w:space="0"/>
            </w:tcBorders>
            <w:noWrap/>
            <w:vAlign w:val="center"/>
          </w:tcPr>
          <w:p w14:paraId="753F259A">
            <w:pPr>
              <w:keepNext w:val="0"/>
              <w:keepLines w:val="0"/>
              <w:pageBreakBefore w:val="0"/>
              <w:kinsoku/>
              <w:wordWrap/>
              <w:overflowPunct/>
              <w:topLinePunct w:val="0"/>
              <w:autoSpaceDE/>
              <w:autoSpaceDN/>
              <w:bidi w:val="0"/>
              <w:adjustRightInd/>
              <w:snapToGrid/>
              <w:spacing w:line="360" w:lineRule="auto"/>
              <w:jc w:val="center"/>
              <w:rPr>
                <w:rFonts w:hint="eastAsia" w:ascii="黑体" w:hAnsi="黑体" w:eastAsia="黑体" w:cs="黑体"/>
                <w:b/>
                <w:bCs/>
                <w:i w:val="0"/>
                <w:iCs w:val="0"/>
                <w:color w:val="000000"/>
                <w:sz w:val="18"/>
                <w:szCs w:val="18"/>
                <w:highlight w:val="none"/>
                <w:u w:val="none"/>
              </w:rPr>
            </w:pPr>
          </w:p>
        </w:tc>
        <w:tc>
          <w:tcPr>
            <w:tcW w:w="283" w:type="pct"/>
            <w:vMerge w:val="restart"/>
            <w:tcBorders>
              <w:top w:val="single" w:color="000000" w:sz="4" w:space="0"/>
              <w:left w:val="single" w:color="000000" w:sz="4" w:space="0"/>
              <w:bottom w:val="single" w:color="000000" w:sz="4" w:space="0"/>
              <w:right w:val="single" w:color="000000" w:sz="4" w:space="0"/>
            </w:tcBorders>
            <w:noWrap/>
            <w:vAlign w:val="center"/>
          </w:tcPr>
          <w:p w14:paraId="72832D56">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精细手术剪</w:t>
            </w:r>
          </w:p>
        </w:tc>
        <w:tc>
          <w:tcPr>
            <w:tcW w:w="3850" w:type="pct"/>
            <w:tcBorders>
              <w:top w:val="single" w:color="000000" w:sz="4" w:space="0"/>
              <w:left w:val="single" w:color="000000" w:sz="4" w:space="0"/>
              <w:bottom w:val="single" w:color="000000" w:sz="4" w:space="0"/>
              <w:right w:val="single" w:color="000000" w:sz="4" w:space="0"/>
            </w:tcBorders>
            <w:noWrap w:val="0"/>
            <w:vAlign w:val="center"/>
          </w:tcPr>
          <w:p w14:paraId="2B111292">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1.长125mm，头宽0.6mm，头厚1mm，直尖，解剖型。</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2.与患者接触部分采用医用不锈钢制造，该材料化学成分符合YY/T 0294.1-2016《外科器械金属材料第1部分：不锈钢》，应经热处理，硬度为48-56HRC。</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3.器械外表面亚光，不得</w:t>
            </w:r>
            <w:bookmarkStart w:id="0" w:name="_GoBack"/>
            <w:bookmarkEnd w:id="0"/>
            <w:r>
              <w:rPr>
                <w:rFonts w:hint="eastAsia" w:ascii="黑体" w:hAnsi="黑体" w:eastAsia="黑体" w:cs="黑体"/>
                <w:i w:val="0"/>
                <w:iCs w:val="0"/>
                <w:color w:val="000000"/>
                <w:kern w:val="0"/>
                <w:sz w:val="18"/>
                <w:szCs w:val="18"/>
                <w:highlight w:val="none"/>
                <w:u w:val="none"/>
                <w:lang w:val="en-US" w:eastAsia="zh-CN" w:bidi="ar"/>
              </w:rPr>
              <w:t>有锋棱、毛刺及明显的碰伤和划痕，其表面粗糙度不大于0.8μm。</w:t>
            </w:r>
          </w:p>
        </w:tc>
        <w:tc>
          <w:tcPr>
            <w:tcW w:w="200" w:type="pct"/>
            <w:tcBorders>
              <w:top w:val="single" w:color="000000" w:sz="4" w:space="0"/>
              <w:left w:val="single" w:color="000000" w:sz="4" w:space="0"/>
              <w:bottom w:val="single" w:color="000000" w:sz="4" w:space="0"/>
              <w:right w:val="single" w:color="000000" w:sz="4" w:space="0"/>
            </w:tcBorders>
            <w:noWrap w:val="0"/>
            <w:vAlign w:val="center"/>
          </w:tcPr>
          <w:p w14:paraId="48B732C2">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1</w:t>
            </w:r>
          </w:p>
        </w:tc>
        <w:tc>
          <w:tcPr>
            <w:tcW w:w="266" w:type="pct"/>
            <w:tcBorders>
              <w:top w:val="single" w:color="000000" w:sz="4" w:space="0"/>
              <w:left w:val="single" w:color="000000" w:sz="4" w:space="0"/>
              <w:bottom w:val="single" w:color="000000" w:sz="4" w:space="0"/>
              <w:right w:val="single" w:color="000000" w:sz="4" w:space="0"/>
            </w:tcBorders>
            <w:noWrap w:val="0"/>
            <w:vAlign w:val="center"/>
          </w:tcPr>
          <w:p w14:paraId="17A2124B">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把</w:t>
            </w:r>
          </w:p>
        </w:tc>
      </w:tr>
      <w:tr w14:paraId="51C771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07" w:hRule="atLeast"/>
        </w:trPr>
        <w:tc>
          <w:tcPr>
            <w:tcW w:w="400" w:type="pct"/>
            <w:vMerge w:val="continue"/>
            <w:tcBorders>
              <w:top w:val="single" w:color="000000" w:sz="4" w:space="0"/>
              <w:left w:val="single" w:color="000000" w:sz="4" w:space="0"/>
              <w:bottom w:val="single" w:color="000000" w:sz="4" w:space="0"/>
              <w:right w:val="single" w:color="000000" w:sz="4" w:space="0"/>
            </w:tcBorders>
            <w:noWrap/>
            <w:vAlign w:val="center"/>
          </w:tcPr>
          <w:p w14:paraId="1081A6BF">
            <w:pPr>
              <w:keepNext w:val="0"/>
              <w:keepLines w:val="0"/>
              <w:pageBreakBefore w:val="0"/>
              <w:kinsoku/>
              <w:wordWrap/>
              <w:overflowPunct/>
              <w:topLinePunct w:val="0"/>
              <w:autoSpaceDE/>
              <w:autoSpaceDN/>
              <w:bidi w:val="0"/>
              <w:adjustRightInd/>
              <w:snapToGrid/>
              <w:spacing w:line="360" w:lineRule="auto"/>
              <w:jc w:val="center"/>
              <w:rPr>
                <w:rFonts w:hint="eastAsia" w:ascii="黑体" w:hAnsi="黑体" w:eastAsia="黑体" w:cs="黑体"/>
                <w:b/>
                <w:bCs/>
                <w:i w:val="0"/>
                <w:iCs w:val="0"/>
                <w:color w:val="000000"/>
                <w:sz w:val="18"/>
                <w:szCs w:val="18"/>
                <w:highlight w:val="none"/>
                <w:u w:val="none"/>
              </w:rPr>
            </w:pPr>
          </w:p>
        </w:tc>
        <w:tc>
          <w:tcPr>
            <w:tcW w:w="283" w:type="pct"/>
            <w:vMerge w:val="continue"/>
            <w:tcBorders>
              <w:top w:val="single" w:color="000000" w:sz="4" w:space="0"/>
              <w:left w:val="single" w:color="000000" w:sz="4" w:space="0"/>
              <w:bottom w:val="single" w:color="000000" w:sz="4" w:space="0"/>
              <w:right w:val="single" w:color="000000" w:sz="4" w:space="0"/>
            </w:tcBorders>
            <w:noWrap/>
            <w:vAlign w:val="center"/>
          </w:tcPr>
          <w:p w14:paraId="2A8A5B33">
            <w:pPr>
              <w:keepNext w:val="0"/>
              <w:keepLines w:val="0"/>
              <w:pageBreakBefore w:val="0"/>
              <w:kinsoku/>
              <w:wordWrap/>
              <w:overflowPunct/>
              <w:topLinePunct w:val="0"/>
              <w:autoSpaceDE/>
              <w:autoSpaceDN/>
              <w:bidi w:val="0"/>
              <w:adjustRightInd/>
              <w:snapToGrid/>
              <w:spacing w:line="360" w:lineRule="auto"/>
              <w:jc w:val="center"/>
              <w:rPr>
                <w:rFonts w:hint="eastAsia" w:ascii="黑体" w:hAnsi="黑体" w:eastAsia="黑体" w:cs="黑体"/>
                <w:i w:val="0"/>
                <w:iCs w:val="0"/>
                <w:color w:val="000000"/>
                <w:sz w:val="18"/>
                <w:szCs w:val="18"/>
                <w:highlight w:val="none"/>
                <w:u w:val="none"/>
              </w:rPr>
            </w:pPr>
          </w:p>
        </w:tc>
        <w:tc>
          <w:tcPr>
            <w:tcW w:w="3850" w:type="pct"/>
            <w:tcBorders>
              <w:top w:val="single" w:color="000000" w:sz="4" w:space="0"/>
              <w:left w:val="single" w:color="000000" w:sz="4" w:space="0"/>
              <w:bottom w:val="single" w:color="000000" w:sz="4" w:space="0"/>
              <w:right w:val="single" w:color="000000" w:sz="4" w:space="0"/>
            </w:tcBorders>
            <w:noWrap w:val="0"/>
            <w:vAlign w:val="center"/>
          </w:tcPr>
          <w:p w14:paraId="6CAA03FE">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黑体" w:hAnsi="黑体" w:eastAsia="黑体" w:cs="黑体"/>
                <w:i w:val="0"/>
                <w:iCs w:val="0"/>
                <w:color w:val="000000"/>
                <w:sz w:val="18"/>
                <w:szCs w:val="18"/>
                <w:highlight w:val="none"/>
                <w:u w:val="none"/>
              </w:rPr>
            </w:pPr>
            <w:r>
              <w:rPr>
                <w:rFonts w:hint="eastAsia" w:ascii="黑体" w:hAnsi="黑体" w:eastAsia="黑体" w:cs="黑体"/>
                <w:i w:val="0"/>
                <w:iCs w:val="0"/>
                <w:color w:val="000000"/>
                <w:kern w:val="0"/>
                <w:sz w:val="18"/>
                <w:szCs w:val="18"/>
                <w:highlight w:val="none"/>
                <w:u w:val="none"/>
                <w:lang w:val="en-US" w:eastAsia="zh-CN" w:bidi="ar"/>
              </w:rPr>
              <w:t>1.长125mm，头宽0.6mm，头厚1mm，头弯高度7.5mm，弯尖，解剖型。</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2.与患者接触部分采用医用不锈钢制造，该材料化学成分符合YY/T 0294.1-2016《外科器械金属材料第1部分：不锈钢》，应经热处理，硬度为48-56HRC。</w:t>
            </w:r>
            <w:r>
              <w:rPr>
                <w:rFonts w:hint="eastAsia" w:ascii="黑体" w:hAnsi="黑体" w:eastAsia="黑体" w:cs="黑体"/>
                <w:i w:val="0"/>
                <w:iCs w:val="0"/>
                <w:color w:val="000000"/>
                <w:kern w:val="0"/>
                <w:sz w:val="18"/>
                <w:szCs w:val="18"/>
                <w:highlight w:val="none"/>
                <w:u w:val="none"/>
                <w:lang w:val="en-US" w:eastAsia="zh-CN" w:bidi="ar"/>
              </w:rPr>
              <w:br w:type="textWrapping"/>
            </w:r>
            <w:r>
              <w:rPr>
                <w:rFonts w:hint="eastAsia" w:ascii="黑体" w:hAnsi="黑体" w:eastAsia="黑体" w:cs="黑体"/>
                <w:i w:val="0"/>
                <w:iCs w:val="0"/>
                <w:color w:val="000000"/>
                <w:kern w:val="0"/>
                <w:sz w:val="18"/>
                <w:szCs w:val="18"/>
                <w:highlight w:val="none"/>
                <w:u w:val="none"/>
                <w:lang w:val="en-US" w:eastAsia="zh-CN" w:bidi="ar"/>
              </w:rPr>
              <w:t>3.器械外表面亚光，不得有锋棱、毛刺及明显的碰伤和划痕，其表面粗糙度不大于0.8μm。</w:t>
            </w:r>
          </w:p>
        </w:tc>
        <w:tc>
          <w:tcPr>
            <w:tcW w:w="200" w:type="pct"/>
            <w:tcBorders>
              <w:top w:val="single" w:color="000000" w:sz="4" w:space="0"/>
              <w:left w:val="single" w:color="000000" w:sz="4" w:space="0"/>
              <w:bottom w:val="single" w:color="000000" w:sz="4" w:space="0"/>
              <w:right w:val="single" w:color="000000" w:sz="4" w:space="0"/>
            </w:tcBorders>
            <w:noWrap w:val="0"/>
            <w:vAlign w:val="center"/>
          </w:tcPr>
          <w:p w14:paraId="3C2BF42C">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1</w:t>
            </w:r>
          </w:p>
        </w:tc>
        <w:tc>
          <w:tcPr>
            <w:tcW w:w="266" w:type="pct"/>
            <w:tcBorders>
              <w:top w:val="single" w:color="000000" w:sz="4" w:space="0"/>
              <w:left w:val="single" w:color="000000" w:sz="4" w:space="0"/>
              <w:bottom w:val="single" w:color="000000" w:sz="4" w:space="0"/>
              <w:right w:val="single" w:color="000000" w:sz="4" w:space="0"/>
            </w:tcBorders>
            <w:noWrap w:val="0"/>
            <w:vAlign w:val="center"/>
          </w:tcPr>
          <w:p w14:paraId="3B1CA8E4">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黑体" w:hAnsi="黑体" w:eastAsia="黑体" w:cs="黑体"/>
                <w:i w:val="0"/>
                <w:iCs w:val="0"/>
                <w:color w:val="000000"/>
                <w:kern w:val="0"/>
                <w:sz w:val="18"/>
                <w:szCs w:val="18"/>
                <w:highlight w:val="none"/>
                <w:u w:val="none"/>
                <w:lang w:val="en-US" w:eastAsia="zh-CN" w:bidi="ar"/>
              </w:rPr>
            </w:pPr>
            <w:r>
              <w:rPr>
                <w:rFonts w:hint="eastAsia" w:ascii="黑体" w:hAnsi="黑体" w:eastAsia="黑体" w:cs="黑体"/>
                <w:i w:val="0"/>
                <w:iCs w:val="0"/>
                <w:color w:val="000000"/>
                <w:kern w:val="0"/>
                <w:sz w:val="18"/>
                <w:szCs w:val="18"/>
                <w:highlight w:val="none"/>
                <w:u w:val="none"/>
                <w:lang w:val="en-US" w:eastAsia="zh-CN" w:bidi="ar"/>
              </w:rPr>
              <w:t>把</w:t>
            </w:r>
          </w:p>
        </w:tc>
      </w:tr>
    </w:tbl>
    <w:p w14:paraId="5362F39B">
      <w:pPr>
        <w:rPr>
          <w:highlight w:val="none"/>
        </w:rPr>
      </w:pPr>
    </w:p>
    <w:p w14:paraId="6216FDAC">
      <w:pPr>
        <w:rPr>
          <w:rFonts w:hint="eastAsia" w:ascii="黑体" w:hAnsi="黑体" w:eastAsia="黑体" w:cs="黑体"/>
          <w:b/>
          <w:bCs/>
          <w:sz w:val="18"/>
          <w:szCs w:val="18"/>
          <w:lang w:val="en-US" w:eastAsia="zh-CN"/>
        </w:rPr>
      </w:pPr>
      <w:r>
        <w:rPr>
          <w:rFonts w:hint="eastAsia" w:ascii="黑体" w:hAnsi="黑体" w:eastAsia="黑体" w:cs="黑体"/>
          <w:b/>
          <w:bCs/>
          <w:sz w:val="18"/>
          <w:szCs w:val="18"/>
          <w:lang w:val="en-US" w:eastAsia="zh-CN"/>
        </w:rPr>
        <w:br w:type="page"/>
      </w:r>
    </w:p>
    <w:p w14:paraId="20C7EE81">
      <w:pPr>
        <w:keepNext w:val="0"/>
        <w:keepLines w:val="0"/>
        <w:pageBreakBefore w:val="0"/>
        <w:kinsoku/>
        <w:wordWrap/>
        <w:overflowPunct/>
        <w:topLinePunct w:val="0"/>
        <w:autoSpaceDE/>
        <w:autoSpaceDN/>
        <w:bidi w:val="0"/>
        <w:adjustRightInd/>
        <w:snapToGrid/>
        <w:spacing w:line="360" w:lineRule="auto"/>
        <w:outlineLvl w:val="0"/>
        <w:rPr>
          <w:rFonts w:hint="eastAsia" w:ascii="黑体" w:hAnsi="黑体" w:eastAsia="黑体" w:cs="黑体"/>
          <w:b/>
          <w:bCs/>
          <w:sz w:val="18"/>
          <w:szCs w:val="18"/>
          <w:lang w:val="en-US" w:eastAsia="zh-CN"/>
        </w:rPr>
      </w:pPr>
      <w:r>
        <w:rPr>
          <w:rFonts w:hint="eastAsia" w:ascii="黑体" w:hAnsi="黑体" w:eastAsia="黑体" w:cs="黑体"/>
          <w:b/>
          <w:bCs/>
          <w:sz w:val="18"/>
          <w:szCs w:val="18"/>
          <w:lang w:val="en-US" w:eastAsia="zh-CN"/>
        </w:rPr>
        <w:t>二十六、说明</w:t>
      </w:r>
    </w:p>
    <w:p w14:paraId="52DB6EDD">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lang w:val="en-US" w:eastAsia="zh-CN"/>
        </w:rPr>
      </w:pPr>
      <w:r>
        <w:rPr>
          <w:rFonts w:hint="eastAsia" w:ascii="黑体" w:hAnsi="黑体" w:eastAsia="黑体" w:cs="黑体"/>
          <w:sz w:val="18"/>
          <w:szCs w:val="18"/>
          <w:lang w:val="en-US" w:eastAsia="zh-CN"/>
        </w:rPr>
        <w:t>注：参数中标记“</w:t>
      </w:r>
      <w:r>
        <w:rPr>
          <w:rFonts w:hint="eastAsia" w:ascii="黑体" w:hAnsi="黑体" w:eastAsia="黑体" w:cs="黑体"/>
          <w:sz w:val="18"/>
          <w:szCs w:val="18"/>
        </w:rPr>
        <w:t>★</w:t>
      </w:r>
      <w:r>
        <w:rPr>
          <w:rFonts w:hint="eastAsia" w:ascii="黑体" w:hAnsi="黑体" w:eastAsia="黑体" w:cs="黑体"/>
          <w:sz w:val="18"/>
          <w:szCs w:val="18"/>
          <w:lang w:val="en-US" w:eastAsia="zh-CN"/>
        </w:rPr>
        <w:t>”、“</w:t>
      </w:r>
      <w:r>
        <w:rPr>
          <w:rFonts w:hint="eastAsia" w:ascii="黑体" w:hAnsi="黑体" w:eastAsia="黑体" w:cs="黑体"/>
          <w:sz w:val="18"/>
          <w:szCs w:val="18"/>
        </w:rPr>
        <w:t>▲</w:t>
      </w:r>
      <w:r>
        <w:rPr>
          <w:rFonts w:hint="eastAsia" w:ascii="黑体" w:hAnsi="黑体" w:eastAsia="黑体" w:cs="黑体"/>
          <w:sz w:val="18"/>
          <w:szCs w:val="18"/>
          <w:lang w:val="en-US" w:eastAsia="zh-CN"/>
        </w:rPr>
        <w:t>”号的参数须提供有效证明材料；</w:t>
      </w:r>
    </w:p>
    <w:p w14:paraId="03466A8F">
      <w:pPr>
        <w:keepNext w:val="0"/>
        <w:keepLines w:val="0"/>
        <w:pageBreakBefore w:val="0"/>
        <w:kinsoku/>
        <w:wordWrap/>
        <w:overflowPunct/>
        <w:topLinePunct w:val="0"/>
        <w:autoSpaceDE/>
        <w:autoSpaceDN/>
        <w:bidi w:val="0"/>
        <w:adjustRightInd/>
        <w:snapToGrid/>
        <w:spacing w:line="360" w:lineRule="auto"/>
        <w:rPr>
          <w:rFonts w:hint="eastAsia" w:ascii="黑体" w:hAnsi="黑体" w:eastAsia="黑体" w:cs="黑体"/>
          <w:sz w:val="18"/>
          <w:szCs w:val="18"/>
        </w:rPr>
      </w:pPr>
      <w:r>
        <w:rPr>
          <w:rFonts w:hint="eastAsia" w:ascii="黑体" w:hAnsi="黑体" w:eastAsia="黑体" w:cs="黑体"/>
          <w:sz w:val="18"/>
          <w:szCs w:val="18"/>
          <w:lang w:val="en-US" w:eastAsia="zh-CN"/>
        </w:rPr>
        <w:t>（有效证明材料包括产品彩页、产品医疗器械备案证/医疗器械备案编号告知书/注册证、产品技术白皮书、产品官网展示信息等有效证明材料，不包括无佐证效力的承诺书、声明函等。）</w:t>
      </w:r>
    </w:p>
    <w:p w14:paraId="44DA098B">
      <w:pPr>
        <w:keepNext w:val="0"/>
        <w:keepLines w:val="0"/>
        <w:pageBreakBefore w:val="0"/>
        <w:kinsoku/>
        <w:wordWrap/>
        <w:overflowPunct/>
        <w:topLinePunct w:val="0"/>
        <w:autoSpaceDE/>
        <w:autoSpaceDN/>
        <w:bidi w:val="0"/>
        <w:adjustRightInd/>
        <w:snapToGrid/>
        <w:spacing w:line="360" w:lineRule="auto"/>
        <w:jc w:val="both"/>
        <w:rPr>
          <w:rFonts w:hint="eastAsia" w:ascii="黑体" w:hAnsi="黑体" w:eastAsia="黑体" w:cs="黑体"/>
          <w:sz w:val="18"/>
          <w:szCs w:val="18"/>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4F682D6"/>
    <w:multiLevelType w:val="singleLevel"/>
    <w:tmpl w:val="74F682D6"/>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9845177"/>
    <w:rsid w:val="0536769A"/>
    <w:rsid w:val="0E172295"/>
    <w:rsid w:val="0E6F3E7F"/>
    <w:rsid w:val="133F1B5F"/>
    <w:rsid w:val="21362876"/>
    <w:rsid w:val="24A662FA"/>
    <w:rsid w:val="28515327"/>
    <w:rsid w:val="29B36EBE"/>
    <w:rsid w:val="30332B06"/>
    <w:rsid w:val="3A422972"/>
    <w:rsid w:val="3B20533C"/>
    <w:rsid w:val="3B9B3B63"/>
    <w:rsid w:val="40A6571F"/>
    <w:rsid w:val="49845177"/>
    <w:rsid w:val="4B8A54FE"/>
    <w:rsid w:val="536B2E13"/>
    <w:rsid w:val="676905E0"/>
    <w:rsid w:val="7EDE17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customStyle="1" w:styleId="4">
    <w:name w:val="font51"/>
    <w:basedOn w:val="3"/>
    <w:qFormat/>
    <w:uiPriority w:val="0"/>
    <w:rPr>
      <w:rFonts w:hint="default" w:ascii="Calibri" w:hAnsi="Calibri" w:cs="Calibri"/>
      <w:color w:val="000000"/>
      <w:sz w:val="28"/>
      <w:szCs w:val="28"/>
      <w:u w:val="none"/>
    </w:rPr>
  </w:style>
  <w:style w:type="character" w:customStyle="1" w:styleId="5">
    <w:name w:val="font61"/>
    <w:basedOn w:val="3"/>
    <w:qFormat/>
    <w:uiPriority w:val="0"/>
    <w:rPr>
      <w:rFonts w:hint="eastAsia" w:ascii="宋体" w:hAnsi="宋体" w:eastAsia="宋体" w:cs="宋体"/>
      <w:color w:val="000000"/>
      <w:sz w:val="28"/>
      <w:szCs w:val="28"/>
      <w:u w:val="none"/>
    </w:rPr>
  </w:style>
  <w:style w:type="character" w:customStyle="1" w:styleId="6">
    <w:name w:val="font71"/>
    <w:basedOn w:val="3"/>
    <w:qFormat/>
    <w:uiPriority w:val="0"/>
    <w:rPr>
      <w:rFonts w:hint="eastAsia" w:ascii="宋体" w:hAnsi="宋体" w:eastAsia="宋体" w:cs="宋体"/>
      <w:color w:val="000000"/>
      <w:sz w:val="28"/>
      <w:szCs w:val="28"/>
      <w:u w:val="none"/>
    </w:rPr>
  </w:style>
  <w:style w:type="character" w:customStyle="1" w:styleId="7">
    <w:name w:val="font81"/>
    <w:basedOn w:val="3"/>
    <w:qFormat/>
    <w:uiPriority w:val="0"/>
    <w:rPr>
      <w:rFonts w:hint="eastAsia" w:ascii="宋体" w:hAnsi="宋体" w:eastAsia="宋体" w:cs="宋体"/>
      <w:color w:val="000000"/>
      <w:sz w:val="28"/>
      <w:szCs w:val="28"/>
      <w:u w:val="none"/>
      <w:vertAlign w:val="superscript"/>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41</Pages>
  <Words>11321</Words>
  <Characters>12875</Characters>
  <Lines>0</Lines>
  <Paragraphs>0</Paragraphs>
  <TotalTime>27</TotalTime>
  <ScaleCrop>false</ScaleCrop>
  <LinksUpToDate>false</LinksUpToDate>
  <CharactersWithSpaces>13498</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2025-11-23T07:13:00Z</dcterms:created>
  <dc:creator>呼伦贝尔市人民医院</dc:creator>
  <cp:lastModifiedBy>小情緒O(∩_∩)O</cp:lastModifiedBy>
  <dcterms:modified xsi:type="dcterms:W3CDTF">2025-11-25T08:17:58Z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4533E197210E472280997EA51E9CD16B_13</vt:lpwstr>
  </property>
  <property fmtid="{D5CDD505-2E9C-101B-9397-08002B2CF9AE}" pid="4" name="KSOTemplateDocerSaveRecord">
    <vt:lpwstr>eyJoZGlkIjoiNjc3NTAyYTIxZmQ2NzU3OWI0YTQzYjE4Zjg2YzJmNGYiLCJ1c2VySWQiOiIzNTQ1NjQ5ODQifQ==</vt:lpwstr>
  </property>
</Properties>
</file>