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内蒙古呼伦湖国际重要湿地2024中央财政湿地保护与恢复项目垃圾清理工程</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内蒙古呼伦湖国家级自然保护区管理局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内蒙古自治区机械设备成套有限责任公司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HSZCS-C-G-250015</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内蒙古自治区机械设备成套有限责任公司</w:t>
      </w:r>
      <w:r>
        <w:rPr>
          <w:rFonts w:ascii="仿宋_GB2312" w:hAnsi="仿宋_GB2312" w:cs="仿宋_GB2312" w:eastAsia="仿宋_GB2312"/>
        </w:rPr>
        <w:t xml:space="preserve"> 受 </w:t>
      </w:r>
      <w:r>
        <w:rPr>
          <w:rFonts w:ascii="仿宋_GB2312" w:hAnsi="仿宋_GB2312" w:cs="仿宋_GB2312" w:eastAsia="仿宋_GB2312"/>
        </w:rPr>
        <w:t>内蒙古呼伦湖国家级自然保护区管理局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内蒙古呼伦湖国际重要湿地2024中央财政湿地保护与恢复项目垃圾清理工程</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内蒙古呼伦湖国际重要湿地2024中央财政湿地保护与恢复项目垃圾清理工程</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HSZCS-C-G-250015</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呼政采计划[2025]00127</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864,439.00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呼伦镇呼伦艾里社区清理垃圾项目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300,006.00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2024年宝格德乌拉苏木根子社区垃圾清运工程</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289,968.00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吉布胡朗图苏木所在三个嘎查沿湖沿河清理垃圾项目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274,465.00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内蒙古自治区机械设备成套有限责任公司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内蒙古自治区呼和浩特市赛罕区如意开发区如意和大街伊泰华府世家2号商业楼A座6层-7层</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杨智慧</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13947113323</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内蒙古呼伦湖国家级自然保护区管理局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满洲里路17号</w:t>
      </w:r>
    </w:p>
    <w:p>
      <w:pPr>
        <w:pStyle w:val="null5"/>
      </w:pPr>
      <w:r>
        <w:rPr>
          <w:rFonts w:ascii="仿宋_GB2312" w:hAnsi="仿宋_GB2312" w:cs="仿宋_GB2312" w:eastAsia="仿宋_GB2312"/>
        </w:rPr>
        <w:t xml:space="preserve"> 邮编： </w:t>
      </w:r>
      <w:r>
        <w:rPr>
          <w:rFonts w:ascii="仿宋_GB2312" w:hAnsi="仿宋_GB2312" w:cs="仿宋_GB2312" w:eastAsia="仿宋_GB2312"/>
        </w:rPr>
        <w:t>021000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敖炜</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15049742299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代理服务费收费标准：固定金额2000元</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内蒙古呼伦湖国家级自然保护区管理局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内蒙古自治区机械设备成套有限责任公司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内蒙古呼伦湖国际重要湿地2024中央财政湿地保护与恢复项目，项目主要建设内容由七大项组成，包括：湿地保护设备设施购置；湿地保护设备设施维护；湿地生态保护宣教；湿地垃圾清运；湿地保护装备购置；湿地浮游动植物监测：管护站维修。项目计划投资规模为1461万元。本次针对该项目施工内容中的垃圾清理工作进行采购。</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合同签订后至2026年11月30日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项目所在地</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1、签订合同后支付，达到付款条件起30日，支付合同总金额的30.00%</w:t>
            </w:r>
          </w:p>
          <w:p>
            <w:pPr>
              <w:pStyle w:val="null5"/>
              <w:jc w:val="left"/>
            </w:pPr>
            <w:r>
              <w:rPr>
                <w:rFonts w:ascii="仿宋_GB2312" w:hAnsi="仿宋_GB2312" w:cs="仿宋_GB2312" w:eastAsia="仿宋_GB2312"/>
              </w:rPr>
              <w:t>2、工程量进行至70%支付，达到付款条件起30日，支付合同总金额的50.00%</w:t>
            </w:r>
          </w:p>
          <w:p>
            <w:pPr>
              <w:pStyle w:val="null5"/>
              <w:jc w:val="left"/>
            </w:pPr>
            <w:r>
              <w:rPr>
                <w:rFonts w:ascii="仿宋_GB2312" w:hAnsi="仿宋_GB2312" w:cs="仿宋_GB2312" w:eastAsia="仿宋_GB2312"/>
              </w:rPr>
              <w:t>3、工程竣工验收后支付，达到付款条件起30日，支付合同总金额的20.00%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标的名称：呼伦镇呼伦艾里社区清理垃圾项目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每年4-11月对重点区域进行巡护，每月平均不少于4次垃圾清理工作，2025-2026 年，2年垃圾清运期。其他详见工程量清单</w:t>
            </w:r>
          </w:p>
        </w:tc>
      </w:tr>
    </w:tbl>
    <w:p>
      <w:pPr>
        <w:pStyle w:val="null5"/>
        <w:jc w:val="left"/>
      </w:pPr>
      <w:r>
        <w:rPr>
          <w:rFonts w:ascii="仿宋_GB2312" w:hAnsi="仿宋_GB2312" w:cs="仿宋_GB2312" w:eastAsia="仿宋_GB2312"/>
        </w:rPr>
        <w:t>标的名称：2024年宝格德乌拉苏木根子社区垃圾清运工程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每年4-11月对重点区域进行巡护，每月平均不少于4次垃圾清理工作，2025-2026 年，2年垃圾清运期。其他详见工程量清单</w:t>
            </w:r>
          </w:p>
        </w:tc>
      </w:tr>
    </w:tbl>
    <w:p>
      <w:pPr>
        <w:pStyle w:val="null5"/>
        <w:jc w:val="left"/>
      </w:pPr>
      <w:r>
        <w:rPr>
          <w:rFonts w:ascii="仿宋_GB2312" w:hAnsi="仿宋_GB2312" w:cs="仿宋_GB2312" w:eastAsia="仿宋_GB2312"/>
        </w:rPr>
        <w:t>标的名称：吉布胡朗图苏木所在三个嘎查沿湖沿河清理垃圾项目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每年4-11月对重点区域进行巡护，每月平均不少于4次垃圾清理工作，2025-2026 年，2年垃圾清运期。其他详见工程量清单</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内容完整性和编制水平</w:t>
            </w:r>
          </w:p>
        </w:tc>
        <w:tc>
          <w:tcPr>
            <w:tcW w:type="dxa" w:w="3115"/>
          </w:tcPr>
          <w:p>
            <w:pPr>
              <w:pStyle w:val="null5"/>
              <w:jc w:val="left"/>
            </w:pPr>
            <w:r>
              <w:rPr>
                <w:rFonts w:ascii="仿宋_GB2312" w:hAnsi="仿宋_GB2312" w:cs="仿宋_GB2312" w:eastAsia="仿宋_GB2312"/>
              </w:rPr>
              <w:t>根据施工组织设计的内容完整性、科学有效性、针对性及编制水平打分，应针对该项目垃圾清运等专项技术及安全防护、人员安置、组织流线、施工专用通道设置等制定完整、科学、有效、有针对性的施工组织设计；内容完整性、有效性、针对性强得7-10分；内容完整性、有效性、针对性较强得4-7分（含7分）；内容完整性、有效性、针对性一般得1-4分（含4分）；差或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项目特点和难点分析及相应对策措施</w:t>
            </w:r>
          </w:p>
        </w:tc>
        <w:tc>
          <w:tcPr>
            <w:tcW w:type="dxa" w:w="3115"/>
          </w:tcPr>
          <w:p>
            <w:pPr>
              <w:pStyle w:val="null5"/>
              <w:jc w:val="left"/>
            </w:pPr>
            <w:r>
              <w:rPr>
                <w:rFonts w:ascii="仿宋_GB2312" w:hAnsi="仿宋_GB2312" w:cs="仿宋_GB2312" w:eastAsia="仿宋_GB2312"/>
              </w:rPr>
              <w:t>对项目特点和难点分析透彻，相应采取的对策措施论述科学、合理、可行的得7-10分； 较为科学、合理、可行的得4-7分（含7分）； 基本科学、合理、可行的得1-4分（含4分）； 采取对策论述不科学、不合理或未提供得0分。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施工方案与技术措施</w:t>
            </w:r>
          </w:p>
        </w:tc>
        <w:tc>
          <w:tcPr>
            <w:tcW w:type="dxa" w:w="3115"/>
          </w:tcPr>
          <w:p>
            <w:pPr>
              <w:pStyle w:val="null5"/>
              <w:jc w:val="left"/>
            </w:pPr>
            <w:r>
              <w:rPr>
                <w:rFonts w:ascii="仿宋_GB2312" w:hAnsi="仿宋_GB2312" w:cs="仿宋_GB2312" w:eastAsia="仿宋_GB2312"/>
              </w:rPr>
              <w:t>根据施工方案的合理性，技术措施对工程质量、工期和施工安全保障的针对性打分；内容合理性强得7-10分；内容合理性较强得4-7分（含7分）；内容合理性一般得1-4分（含4分）；差或未提供不得分。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质量管理体系与措施合理、有效，措施与方案的完善性，酌情打分。内容完善性强得7-10分；内容完善性较强得4-7分（含7分）；内容完善性一般得1-4分（含4分）；差或未提供不得分。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安全管理体系与措施</w:t>
            </w:r>
          </w:p>
        </w:tc>
        <w:tc>
          <w:tcPr>
            <w:tcW w:type="dxa" w:w="3115"/>
          </w:tcPr>
          <w:p>
            <w:pPr>
              <w:pStyle w:val="null5"/>
              <w:jc w:val="left"/>
            </w:pPr>
            <w:r>
              <w:rPr>
                <w:rFonts w:ascii="仿宋_GB2312" w:hAnsi="仿宋_GB2312" w:cs="仿宋_GB2312" w:eastAsia="仿宋_GB2312"/>
              </w:rPr>
              <w:t>根据安全管理体系与措施的合理、可靠、有效性，酌情打分。内容合理、可靠、有效性强得3-5分；内容合理、可靠、有效性较强得2-3分（含3分）；内容合理、可靠、有效性一般得1-2分（含2分）；差或未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环境保护管理体系与措施</w:t>
            </w:r>
          </w:p>
        </w:tc>
        <w:tc>
          <w:tcPr>
            <w:tcW w:type="dxa" w:w="3115"/>
          </w:tcPr>
          <w:p>
            <w:pPr>
              <w:pStyle w:val="null5"/>
              <w:jc w:val="left"/>
            </w:pPr>
            <w:r>
              <w:rPr>
                <w:rFonts w:ascii="仿宋_GB2312" w:hAnsi="仿宋_GB2312" w:cs="仿宋_GB2312" w:eastAsia="仿宋_GB2312"/>
              </w:rPr>
              <w:t>根据环境保护管理体系的建立与相关措施是否完善，酌情打分。针对本项目施工过程中的扬尘、降噪、垃圾清运、减少环境污染等有具体且详尽的措施。内容完善性强得3-5分；内容完善性较强得2-3分（含3分）；内容完善性一般得1-2分（含2分）；差或未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工程进度计划与措施</w:t>
            </w:r>
          </w:p>
        </w:tc>
        <w:tc>
          <w:tcPr>
            <w:tcW w:type="dxa" w:w="3115"/>
          </w:tcPr>
          <w:p>
            <w:pPr>
              <w:pStyle w:val="null5"/>
              <w:jc w:val="left"/>
            </w:pPr>
            <w:r>
              <w:rPr>
                <w:rFonts w:ascii="仿宋_GB2312" w:hAnsi="仿宋_GB2312" w:cs="仿宋_GB2312" w:eastAsia="仿宋_GB2312"/>
              </w:rPr>
              <w:t>根据编制情况的合理性、可靠性、有效性，酌情打分。有明确的工期节点计划，针对本项目编制工程进度计划及整体工期安排，尤其对施工黄金期制定切实可行的工期安排确保工程按期完工，同时有制定完善的交叉施工计划及措施。内容合理性、可靠性、有效性强得3-5分；内容合理性、可靠性、有效性较强得2-3分（含3分）；内容合理性、可靠性、有效性一般得1-2分（含2分）；差或未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根据承诺投入的劳动力与施工设备数量、种类的全面、合理、有效性，酌情打分。内容全面、合理、有效性强得3-5分；内容全面、合理、有效性较强得2-3分（含3分）；内容全面、合理、有效性一般得1-2分（含2分）；差或未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供应商业绩</w:t>
            </w:r>
          </w:p>
        </w:tc>
        <w:tc>
          <w:tcPr>
            <w:tcW w:type="dxa" w:w="3115"/>
          </w:tcPr>
          <w:p>
            <w:pPr>
              <w:pStyle w:val="null5"/>
              <w:jc w:val="left"/>
            </w:pPr>
            <w:r>
              <w:rPr>
                <w:rFonts w:ascii="仿宋_GB2312" w:hAnsi="仿宋_GB2312" w:cs="仿宋_GB2312" w:eastAsia="仿宋_GB2312"/>
              </w:rPr>
              <w:t>近年(2021年至今，以合同签订时间为准)供应商每承揽过1项类似工程业绩，得5分，本项最高10分。(须提供合同扫描件）</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