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调解服务采购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呼伦贝尔市司法局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中乐九建工程咨询有限公司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HSZCS-C-F-250017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中乐九建工程咨询有限公司</w:t>
      </w:r>
      <w:r>
        <w:rPr>
          <w:rFonts w:ascii="仿宋_GB2312" w:hAnsi="仿宋_GB2312" w:cs="仿宋_GB2312" w:eastAsia="仿宋_GB2312"/>
        </w:rPr>
        <w:t xml:space="preserve"> 受 </w:t>
      </w:r>
      <w:r>
        <w:rPr>
          <w:rFonts w:ascii="仿宋_GB2312" w:hAnsi="仿宋_GB2312" w:cs="仿宋_GB2312" w:eastAsia="仿宋_GB2312"/>
        </w:rPr>
        <w:t>呼伦贝尔市司法局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调解服务采购</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调解服务采购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HSZCS-C-F-250017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呼政采计划[2025]00232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1,632,000.00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人民调解服务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1,632,000.00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政府采购网--政府采购云平台”参加远程开标）。请供应商使用投标客户端严格按照磋商文件的相关要求制作和上传电子响应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中乐九建工程咨询有限公司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广东省深圳市宝安区深圳市宝安区西乡街道共乐社区共和工业路48号白鹿广场A栋3086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518100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15249450166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呼伦贝尔市司法局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河西新区政务综合楼F区308</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刘晓磊</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18647009158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呼伦贝尔市司法局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中乐九建工程咨询有限公司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人民调解服务采购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1、合同签订之日，达到付款条件起5日，支付合同总金额的50.00%</w:t>
            </w:r>
          </w:p>
          <w:p>
            <w:pPr>
              <w:pStyle w:val="null5"/>
              <w:jc w:val="left"/>
            </w:pPr>
            <w:r>
              <w:rPr>
                <w:rFonts w:ascii="仿宋_GB2312" w:hAnsi="仿宋_GB2312" w:cs="仿宋_GB2312" w:eastAsia="仿宋_GB2312"/>
              </w:rPr>
              <w:t>2、合同签订的第180天，达到付款条件起5日，支付合同总金额的50.00%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1、期次1，说明：采购人按照单位控制性程序自行组织验收</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标的名称：人民调解服务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20"/>
              <w:jc w:val="both"/>
            </w:pPr>
            <w:r>
              <w:rPr>
                <w:rFonts w:ascii="仿宋_GB2312" w:hAnsi="仿宋_GB2312" w:cs="仿宋_GB2312" w:eastAsia="仿宋_GB2312"/>
                <w:sz w:val="21"/>
              </w:rPr>
              <w:t>承接主体聘用具有丰富法律知识和人民调解工作经验，经司法行政机关备案的人民调解员和基层法律服务工作者，受理当事人申请或由法院、仲裁机构、其他部门委托调解的争议纠纷案件，依法开展人民调解。承接人民调解服务项目的调解组织，每周工作时间不少于</w:t>
            </w:r>
            <w:r>
              <w:rPr>
                <w:rFonts w:ascii="仿宋_GB2312" w:hAnsi="仿宋_GB2312" w:cs="仿宋_GB2312" w:eastAsia="仿宋_GB2312"/>
                <w:sz w:val="21"/>
              </w:rPr>
              <w:t>30</w:t>
            </w:r>
            <w:r>
              <w:rPr>
                <w:rFonts w:ascii="仿宋_GB2312" w:hAnsi="仿宋_GB2312" w:cs="仿宋_GB2312" w:eastAsia="仿宋_GB2312"/>
                <w:sz w:val="21"/>
              </w:rPr>
              <w:t>小时。</w:t>
            </w:r>
          </w:p>
          <w:p>
            <w:pPr>
              <w:pStyle w:val="null5"/>
              <w:ind w:firstLine="420"/>
              <w:jc w:val="both"/>
            </w:pPr>
            <w:r>
              <w:rPr>
                <w:rFonts w:ascii="仿宋_GB2312" w:hAnsi="仿宋_GB2312" w:cs="仿宋_GB2312" w:eastAsia="仿宋_GB2312"/>
                <w:sz w:val="21"/>
              </w:rPr>
              <w:t>具体服务内容如下</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人民调解服务。民事调解服务、经济纠纷调解服务、劳务合同纠纷服务、医疗纠纷调解服务等其他纠纷调解服务。</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法律咨询及宣传服务。</w:t>
            </w:r>
          </w:p>
          <w:p>
            <w:pPr>
              <w:pStyle w:val="null5"/>
              <w:ind w:firstLine="420"/>
              <w:jc w:val="both"/>
            </w:pPr>
            <w:r>
              <w:rPr>
                <w:rFonts w:ascii="仿宋_GB2312" w:hAnsi="仿宋_GB2312" w:cs="仿宋_GB2312" w:eastAsia="仿宋_GB2312"/>
                <w:sz w:val="21"/>
              </w:rPr>
              <w:t>1.</w:t>
            </w:r>
            <w:r>
              <w:rPr>
                <w:rFonts w:ascii="仿宋_GB2312" w:hAnsi="仿宋_GB2312" w:cs="仿宋_GB2312" w:eastAsia="仿宋_GB2312"/>
                <w:sz w:val="21"/>
              </w:rPr>
              <w:t>为相关部门、群众咨询人民调解相关政策、事项提供服务。向医疗机构提出防范医疗纠纷的意见、建议。</w:t>
            </w:r>
          </w:p>
          <w:p>
            <w:pPr>
              <w:pStyle w:val="null5"/>
              <w:ind w:firstLine="420"/>
              <w:jc w:val="both"/>
            </w:pPr>
            <w:r>
              <w:rPr>
                <w:rFonts w:ascii="仿宋_GB2312" w:hAnsi="仿宋_GB2312" w:cs="仿宋_GB2312" w:eastAsia="仿宋_GB2312"/>
                <w:sz w:val="21"/>
              </w:rPr>
              <w:t>2.</w:t>
            </w:r>
            <w:r>
              <w:rPr>
                <w:rFonts w:ascii="仿宋_GB2312" w:hAnsi="仿宋_GB2312" w:cs="仿宋_GB2312" w:eastAsia="仿宋_GB2312"/>
                <w:sz w:val="21"/>
              </w:rPr>
              <w:t>对辖区内民间矛盾纠纷进行排查，并针对排查出的矛盾纠纷向相关部门提出处置意见</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3.</w:t>
            </w:r>
            <w:r>
              <w:rPr>
                <w:rFonts w:ascii="仿宋_GB2312" w:hAnsi="仿宋_GB2312" w:cs="仿宋_GB2312" w:eastAsia="仿宋_GB2312"/>
                <w:sz w:val="21"/>
              </w:rPr>
              <w:t>通过组织专题活动、印发资料、制作广告和刊播专题等方式，提供法律知识普及教育、医疗纠纷等调解咨询和服务、宣传人民调解法、人民调解工作。</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法律服务活动。组织开展企业个人法律体检活动、司法诉求解答、风险防控提示、代写法律文书等多项法律服务。</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人民调解队伍培训服务。受招标方委托对人民调解员进行业务培训。为人民调解员业务培训提供师资、场所、教材等服务。重点培训《人民调解法》民商法、侵权责任法等法律法规，矛盾纠纷案件调解程序调解方法技巧</w:t>
            </w:r>
            <w:r>
              <w:rPr>
                <w:rFonts w:ascii="仿宋_GB2312" w:hAnsi="仿宋_GB2312" w:cs="仿宋_GB2312" w:eastAsia="仿宋_GB2312"/>
                <w:sz w:val="21"/>
              </w:rPr>
              <w:t>,</w:t>
            </w:r>
            <w:r>
              <w:rPr>
                <w:rFonts w:ascii="仿宋_GB2312" w:hAnsi="仿宋_GB2312" w:cs="仿宋_GB2312" w:eastAsia="仿宋_GB2312"/>
                <w:sz w:val="21"/>
              </w:rPr>
              <w:t>“司法厅基层基础工作平台”矛盾纠纷案件录入方法、人民调解统计分析报告的撰写方法等内容。</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调解评估服务，研究分析。</w:t>
            </w:r>
          </w:p>
          <w:p>
            <w:pPr>
              <w:pStyle w:val="null5"/>
              <w:ind w:firstLine="420"/>
              <w:jc w:val="both"/>
            </w:pPr>
            <w:r>
              <w:rPr>
                <w:rFonts w:ascii="仿宋_GB2312" w:hAnsi="仿宋_GB2312" w:cs="仿宋_GB2312" w:eastAsia="仿宋_GB2312"/>
                <w:sz w:val="21"/>
              </w:rPr>
              <w:t>1.</w:t>
            </w:r>
            <w:r>
              <w:rPr>
                <w:rFonts w:ascii="仿宋_GB2312" w:hAnsi="仿宋_GB2312" w:cs="仿宋_GB2312" w:eastAsia="仿宋_GB2312"/>
                <w:sz w:val="21"/>
              </w:rPr>
              <w:t>进行人民调解矛盾纠纷分析调判工作及理论研究。</w:t>
            </w:r>
          </w:p>
          <w:p>
            <w:pPr>
              <w:pStyle w:val="null5"/>
              <w:ind w:firstLine="420"/>
              <w:jc w:val="both"/>
            </w:pPr>
            <w:r>
              <w:rPr>
                <w:rFonts w:ascii="仿宋_GB2312" w:hAnsi="仿宋_GB2312" w:cs="仿宋_GB2312" w:eastAsia="仿宋_GB2312"/>
                <w:sz w:val="21"/>
              </w:rPr>
              <w:t>2.</w:t>
            </w:r>
            <w:r>
              <w:rPr>
                <w:rFonts w:ascii="仿宋_GB2312" w:hAnsi="仿宋_GB2312" w:cs="仿宋_GB2312" w:eastAsia="仿宋_GB2312"/>
                <w:sz w:val="21"/>
              </w:rPr>
              <w:t>对每季度、年度调解案件的调解成功率、协议履行情况进行评估</w:t>
            </w:r>
            <w:r>
              <w:rPr>
                <w:rFonts w:ascii="仿宋_GB2312" w:hAnsi="仿宋_GB2312" w:cs="仿宋_GB2312" w:eastAsia="仿宋_GB2312"/>
                <w:sz w:val="21"/>
              </w:rPr>
              <w:t>,</w:t>
            </w:r>
            <w:r>
              <w:rPr>
                <w:rFonts w:ascii="仿宋_GB2312" w:hAnsi="仿宋_GB2312" w:cs="仿宋_GB2312" w:eastAsia="仿宋_GB2312"/>
                <w:sz w:val="21"/>
              </w:rPr>
              <w:t>并举出重点案例分析调解失败、协议未能履行的原因，采取相应的改正措施。</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人民调解服务辅助性工作。</w:t>
            </w:r>
          </w:p>
          <w:p>
            <w:pPr>
              <w:pStyle w:val="null5"/>
              <w:ind w:firstLine="420"/>
              <w:jc w:val="both"/>
            </w:pPr>
            <w:r>
              <w:rPr>
                <w:rFonts w:ascii="仿宋_GB2312" w:hAnsi="仿宋_GB2312" w:cs="仿宋_GB2312" w:eastAsia="仿宋_GB2312"/>
                <w:sz w:val="21"/>
              </w:rPr>
              <w:t>1.</w:t>
            </w:r>
            <w:r>
              <w:rPr>
                <w:rFonts w:ascii="仿宋_GB2312" w:hAnsi="仿宋_GB2312" w:cs="仿宋_GB2312" w:eastAsia="仿宋_GB2312"/>
                <w:sz w:val="21"/>
              </w:rPr>
              <w:t>人民调解规范化标识制作以及其他人民调解辅助性工作</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2.</w:t>
            </w:r>
            <w:r>
              <w:rPr>
                <w:rFonts w:ascii="仿宋_GB2312" w:hAnsi="仿宋_GB2312" w:cs="仿宋_GB2312" w:eastAsia="仿宋_GB2312"/>
                <w:sz w:val="21"/>
              </w:rPr>
              <w:t>人民调解员基本信息以及调解案件的录入</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3.</w:t>
            </w:r>
            <w:r>
              <w:rPr>
                <w:rFonts w:ascii="仿宋_GB2312" w:hAnsi="仿宋_GB2312" w:cs="仿宋_GB2312" w:eastAsia="仿宋_GB2312"/>
                <w:sz w:val="21"/>
              </w:rPr>
              <w:t>矛盾纠纷排查化解记载、案卷制作等。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建立人民调解专家团队，解决疑难重大案件等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运营呼伦贝尔市人民调解员协会</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负责孵化功能社会组织参与到化解纠纷中来</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十</w:t>
            </w:r>
            <w:r>
              <w:rPr>
                <w:rFonts w:ascii="仿宋_GB2312" w:hAnsi="仿宋_GB2312" w:cs="仿宋_GB2312" w:eastAsia="仿宋_GB2312"/>
                <w:sz w:val="21"/>
              </w:rPr>
              <w:t>)</w:t>
            </w:r>
            <w:r>
              <w:rPr>
                <w:rFonts w:ascii="仿宋_GB2312" w:hAnsi="仿宋_GB2312" w:cs="仿宋_GB2312" w:eastAsia="仿宋_GB2312"/>
                <w:sz w:val="21"/>
              </w:rPr>
              <w:t>矛调中心的实体化运营</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十一</w:t>
            </w:r>
            <w:r>
              <w:rPr>
                <w:rFonts w:ascii="仿宋_GB2312" w:hAnsi="仿宋_GB2312" w:cs="仿宋_GB2312" w:eastAsia="仿宋_GB2312"/>
                <w:sz w:val="21"/>
              </w:rPr>
              <w:t>)</w:t>
            </w:r>
            <w:r>
              <w:rPr>
                <w:rFonts w:ascii="仿宋_GB2312" w:hAnsi="仿宋_GB2312" w:cs="仿宋_GB2312" w:eastAsia="仿宋_GB2312"/>
                <w:sz w:val="21"/>
              </w:rPr>
              <w:t>一站式市域治理指挥调度中心的运营</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十二</w:t>
            </w:r>
            <w:r>
              <w:rPr>
                <w:rFonts w:ascii="仿宋_GB2312" w:hAnsi="仿宋_GB2312" w:cs="仿宋_GB2312" w:eastAsia="仿宋_GB2312"/>
                <w:sz w:val="21"/>
              </w:rPr>
              <w:t>)12345</w:t>
            </w:r>
            <w:r>
              <w:rPr>
                <w:rFonts w:ascii="仿宋_GB2312" w:hAnsi="仿宋_GB2312" w:cs="仿宋_GB2312" w:eastAsia="仿宋_GB2312"/>
                <w:sz w:val="21"/>
              </w:rPr>
              <w:t>政务服务热线“总客服”</w:t>
            </w:r>
          </w:p>
          <w:p>
            <w:pPr>
              <w:pStyle w:val="null5"/>
              <w:jc w:val="both"/>
            </w:pPr>
            <w:r>
              <w:rPr>
                <w:rFonts w:ascii="仿宋_GB2312" w:hAnsi="仿宋_GB2312" w:cs="仿宋_GB2312" w:eastAsia="仿宋_GB2312"/>
                <w:sz w:val="21"/>
              </w:rPr>
              <w:t>注：根据《政府购买服务管理办法》（财政部令第</w:t>
            </w:r>
            <w:r>
              <w:rPr>
                <w:rFonts w:ascii="仿宋_GB2312" w:hAnsi="仿宋_GB2312" w:cs="仿宋_GB2312" w:eastAsia="仿宋_GB2312"/>
                <w:sz w:val="21"/>
              </w:rPr>
              <w:t>102</w:t>
            </w:r>
            <w:r>
              <w:rPr>
                <w:rFonts w:ascii="仿宋_GB2312" w:hAnsi="仿宋_GB2312" w:cs="仿宋_GB2312" w:eastAsia="仿宋_GB2312"/>
                <w:sz w:val="21"/>
              </w:rPr>
              <w:t>号）规定，本项目符合续期采购要求，采取一次采购三年沿用、实行一年一考核一签合同</w:t>
            </w:r>
            <w:r>
              <w:rPr>
                <w:rFonts w:ascii="仿宋_GB2312" w:hAnsi="仿宋_GB2312" w:cs="仿宋_GB2312" w:eastAsia="仿宋_GB2312"/>
                <w:sz w:val="21"/>
              </w:rPr>
              <w:t>。</w:t>
            </w:r>
            <w:r>
              <w:rPr>
                <w:rFonts w:ascii="仿宋_GB2312" w:hAnsi="仿宋_GB2312" w:cs="仿宋_GB2312" w:eastAsia="仿宋_GB2312"/>
                <w:sz w:val="21"/>
              </w:rPr>
              <w:t>每年</w:t>
            </w:r>
            <w:r>
              <w:rPr>
                <w:rFonts w:ascii="仿宋_GB2312" w:hAnsi="仿宋_GB2312" w:cs="仿宋_GB2312" w:eastAsia="仿宋_GB2312"/>
                <w:sz w:val="21"/>
              </w:rPr>
              <w:t>服务</w:t>
            </w:r>
            <w:r>
              <w:rPr>
                <w:rFonts w:ascii="仿宋_GB2312" w:hAnsi="仿宋_GB2312" w:cs="仿宋_GB2312" w:eastAsia="仿宋_GB2312"/>
                <w:sz w:val="21"/>
              </w:rPr>
              <w:t>期满后，采购人根据相关政策以及中标人服务质量与中标人续签下一年合同，合同价格由采购人根据政策及预算变化调整</w:t>
            </w:r>
            <w:r>
              <w:rPr>
                <w:rFonts w:ascii="仿宋_GB2312" w:hAnsi="仿宋_GB2312" w:cs="仿宋_GB2312" w:eastAsia="仿宋_GB2312"/>
                <w:sz w:val="21"/>
              </w:rPr>
              <w:t>。</w:t>
            </w:r>
            <w:r>
              <w:rPr>
                <w:rFonts w:ascii="仿宋_GB2312" w:hAnsi="仿宋_GB2312" w:cs="仿宋_GB2312" w:eastAsia="仿宋_GB2312"/>
                <w:sz w:val="21"/>
              </w:rPr>
              <w:t>一年合同期满但采购人未获得预算批复或需求取消，则经采购人提前书面通知供应商后，合同到期终止，不再顺延。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投标人提供的服务方案，应包括但不限于服务内容、服务标准、人员配备。服务方案完整、全面并完全满足采购方采购需求，执行性强得31-50分，方案完整可行、有一定的可执行性得11-30分，方案可行、基本合理得1-10分，方案不可行、无方案或不满足采购方需求的不得分。</w:t>
            </w:r>
          </w:p>
        </w:tc>
        <w:tc>
          <w:tcPr>
            <w:tcW w:type="dxa" w:w="1038"/>
          </w:tcPr>
          <w:p>
            <w:pPr>
              <w:pStyle w:val="null5"/>
              <w:jc w:val="right"/>
            </w:pPr>
            <w:r>
              <w:rPr>
                <w:rFonts w:ascii="仿宋_GB2312" w:hAnsi="仿宋_GB2312" w:cs="仿宋_GB2312" w:eastAsia="仿宋_GB2312"/>
              </w:rPr>
              <w:t>50.00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内容完整且编制合理得16-30分，内容基本完整且编制基本合理得1-15分，内容不完整且编制不合理的不得分。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近三年（2022年1月1日起至今）的同类项目业绩（提供中标通知书或合同），每提供1份得1，最高得2分，未提供不得分。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格式内容自拟。服务承诺全面合理完善得5-8分，一般得1-4分，未提供不得分。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