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（头道桥林场-诺干诺尔林场）防火道路建设项目前期准备相关服务采购项目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呼伦贝尔市红花尔基林业局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内蒙古凯豪项目管理有限责任公司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HSZCS-C-F-250030</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内蒙古凯豪项目管理有限责任公司</w:t>
      </w:r>
      <w:r>
        <w:rPr>
          <w:rFonts w:ascii="仿宋_GB2312" w:hAnsi="仿宋_GB2312" w:cs="仿宋_GB2312" w:eastAsia="仿宋_GB2312"/>
        </w:rPr>
        <w:t xml:space="preserve"> 受 </w:t>
      </w:r>
      <w:r>
        <w:rPr>
          <w:rFonts w:ascii="仿宋_GB2312" w:hAnsi="仿宋_GB2312" w:cs="仿宋_GB2312" w:eastAsia="仿宋_GB2312"/>
        </w:rPr>
        <w:t>呼伦贝尔市红花尔基林业局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（头道桥林场-诺干诺尔林场）防火道路建设项目前期准备相关服务采购项目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（头道桥林场-诺干诺尔林场）防火道路建设项目前期准备相关服务采购项目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HSZCS-C-F-250030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呼政采计划[2025]00486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勘察设计服务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660,000.00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水土保持服务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生态保护红线内允许有限人为活动论证报告</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530,000.00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咨询审查服务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530,000.00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135,000.00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造价咨询</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1、资格条件：供应商须具备工程勘察（工程测量专业）乙级（含乙级）以上资质及公路行业（含公路专业）设计乙级（含乙级）以上资质</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1、项目负责人资格要求：拟派本项目负责人需有工程系列高级专业技术职称</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1、资格条件：供应商须具备行业主管部门核发的城乡规划编制乙级及以上资质</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1、资格条件：供应商须具备全国投资项目在线审批监管平台进行公路咨询专业备案且具有工程设计公路行业(含公路专业)乙级及以上设计资质(资质应在有效期内)。</w:t>
      </w:r>
    </w:p>
    <w:p>
      <w:pPr>
        <w:pStyle w:val="null5"/>
        <w:jc w:val="left"/>
      </w:pPr>
      <w:r>
        <w:rPr>
          <w:rFonts w:ascii="仿宋_GB2312" w:hAnsi="仿宋_GB2312" w:cs="仿宋_GB2312" w:eastAsia="仿宋_GB2312"/>
        </w:rPr>
        <w:t>2、项目人员要求：拟委派项目人员中至少一人须具备在本单位注册的全国一级造价工程师资格证书。</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1、项目负责人资格要求：拟委派项目负责人须具备在本单位注册的全国一级造价工程师资格证书。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内蒙古凯豪项目管理有限责任公司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内蒙古自治区呼伦贝尔市海拉尔区内蒙古自治区呼伦贝尔市海拉尔区腾阳华瑞园西区11号121门市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徐女士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18004708022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呼伦贝尔市红花尔基林业局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鄂温克旗红花尔基镇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021112</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李国凤</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15848097669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5</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代理服务费收费标准：依据《内蒙古自治区建设工程招标代理服务费收费指导意见》 内工建协【2022】 34 号文件，按收费标准的6.8折收取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呼伦贝尔市红花尔基林业局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内蒙古凯豪项目管理有限责任公司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呼伦贝尔市红花尔基林业局（头道桥林场-诺干诺尔林场）防火道路建设项目前期准备相关服务采购项目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签订合同后20日内提交成果文件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3、成果文件符合验收批复条件，达到付款条件起5日，支付合同总金额的30.00%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合同签订后15日内提交果文件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3、验收合格经批复后，达到付款条件起5日，支付合同总金额的30.00%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合同签订后15日内提交成果文件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3、验收合格经批复后，达到付款条件起5日，支付合同总金额的30.00%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项目全部结束后</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3、验收合格经审查合格后，达到付款条件起5日，支付合同总金额的30.00%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自签订合同之日起15日内提交成果文件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红花尔基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1、合同签订后，达到付款条件起5日，支付合同总金额的40.00%</w:t>
            </w:r>
          </w:p>
          <w:p>
            <w:pPr>
              <w:pStyle w:val="null5"/>
              <w:jc w:val="left"/>
            </w:pPr>
            <w:r>
              <w:rPr>
                <w:rFonts w:ascii="仿宋_GB2312" w:hAnsi="仿宋_GB2312" w:cs="仿宋_GB2312" w:eastAsia="仿宋_GB2312"/>
              </w:rPr>
              <w:t>2、提交成果文件后，达到付款条件起5日，支付合同总金额的30.00%</w:t>
            </w:r>
          </w:p>
          <w:p>
            <w:pPr>
              <w:pStyle w:val="null5"/>
              <w:jc w:val="left"/>
            </w:pPr>
            <w:r>
              <w:rPr>
                <w:rFonts w:ascii="仿宋_GB2312" w:hAnsi="仿宋_GB2312" w:cs="仿宋_GB2312" w:eastAsia="仿宋_GB2312"/>
              </w:rPr>
              <w:t>3、验收合格并完成备案后，达到付款条件起5日，支付合同总金额的30.00%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标的名称：勘察设计服务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本项目勘察设计。包括岩土勘察；线路勘界；初步设计；施工图设计、概（预）算编制、施工招标时所需要的分标段图纸；参考资料；设计文件的编制汇总；后续服务及竣工图文件的编制；工程地质勘察报告的编制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标的名称：水土保持服务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水土保持方案编制服务，完成《水土保持方案》并取得相关批复。</w:t>
            </w:r>
          </w:p>
          <w:p>
            <w:pPr>
              <w:pStyle w:val="null5"/>
              <w:jc w:val="both"/>
            </w:pPr>
            <w:r>
              <w:rPr>
                <w:rFonts w:ascii="仿宋_GB2312" w:hAnsi="仿宋_GB2312" w:cs="仿宋_GB2312" w:eastAsia="仿宋_GB2312"/>
                <w:sz w:val="24"/>
              </w:rPr>
              <w:t>编制水土保持方案，委托水土保持工程施工监理，出具水土保持监理报告，出具水土保持监测报告，编制水土保持后续设计专篇、水土保持验收报告并协助建设单位开展水土保持验收工作，取得水利主管部门备案文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标的名称：生态保护红线内允许有限人为活动论证报告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rPr>
              <w:t>按国家、地方和行业有关法律法规、有关规范及技术导则要求，完成生态保护红线内允许有限人为活动论证报告</w:t>
            </w:r>
          </w:p>
          <w:p>
            <w:pPr>
              <w:pStyle w:val="null5"/>
              <w:jc w:val="left"/>
            </w:pPr>
            <w:r>
              <w:rPr>
                <w:rFonts w:ascii="仿宋_GB2312" w:hAnsi="仿宋_GB2312" w:cs="仿宋_GB2312" w:eastAsia="仿宋_GB2312"/>
                <w:sz w:val="21"/>
              </w:rPr>
              <w:t>一、根据具体的环境条件，对所拟定的人工活动进行详尽的风险评估，并拟定防治体系，以确保活动可持续。</w:t>
            </w:r>
          </w:p>
          <w:p>
            <w:pPr>
              <w:pStyle w:val="null5"/>
              <w:jc w:val="left"/>
            </w:pPr>
            <w:r>
              <w:rPr>
                <w:rFonts w:ascii="仿宋_GB2312" w:hAnsi="仿宋_GB2312" w:cs="仿宋_GB2312" w:eastAsia="仿宋_GB2312"/>
                <w:sz w:val="21"/>
              </w:rPr>
              <w:t>二、结合局部环境状况，分析拟定活动可能带来的生态改变，从而制定以保护本地生态系统在活动过程中的相应规范。</w:t>
            </w:r>
          </w:p>
          <w:p>
            <w:pPr>
              <w:pStyle w:val="null5"/>
              <w:jc w:val="left"/>
            </w:pPr>
            <w:r>
              <w:rPr>
                <w:rFonts w:ascii="仿宋_GB2312" w:hAnsi="仿宋_GB2312" w:cs="仿宋_GB2312" w:eastAsia="仿宋_GB2312"/>
                <w:sz w:val="21"/>
              </w:rPr>
              <w:t>水环境质量数据：地表水、地下水的水质监测数据，包括酸碱度、溶解氧、化学需氧量、重金属含量等指标，评估水环境质量现状及承载能力，判断有限人为活动对水环境的潜在影响。</w:t>
            </w:r>
          </w:p>
          <w:p>
            <w:pPr>
              <w:pStyle w:val="null5"/>
              <w:jc w:val="left"/>
            </w:pPr>
            <w:r>
              <w:rPr>
                <w:rFonts w:ascii="仿宋_GB2312" w:hAnsi="仿宋_GB2312" w:cs="仿宋_GB2312" w:eastAsia="仿宋_GB2312"/>
                <w:sz w:val="21"/>
              </w:rPr>
              <w:t>大气环境质量数据：空气质量监测数据，如二氧化硫、氮氧化物、颗粒物等污染物的浓度，了解大气环境质量状况，分析人为活动对大气环境的可能影响。</w:t>
            </w:r>
          </w:p>
          <w:p>
            <w:pPr>
              <w:pStyle w:val="null5"/>
              <w:jc w:val="left"/>
            </w:pPr>
            <w:r>
              <w:rPr>
                <w:rFonts w:ascii="仿宋_GB2312" w:hAnsi="仿宋_GB2312" w:cs="仿宋_GB2312" w:eastAsia="仿宋_GB2312"/>
                <w:sz w:val="21"/>
              </w:rPr>
              <w:t>土壤环境质量数据：土壤中重金属、农药残留等污染物的含量监测数据，评估土壤污染状况，为合理安排有限人为活动提供科学依据。</w:t>
            </w:r>
          </w:p>
          <w:p>
            <w:pPr>
              <w:pStyle w:val="null5"/>
              <w:jc w:val="left"/>
            </w:pPr>
            <w:r>
              <w:rPr>
                <w:rFonts w:ascii="仿宋_GB2312" w:hAnsi="仿宋_GB2312" w:cs="仿宋_GB2312" w:eastAsia="仿宋_GB2312"/>
                <w:sz w:val="21"/>
              </w:rPr>
              <w:t>生态功能监测数据：如水源涵养、水土保持、生物栖息地保护等生态功能的监测评估数据，明确生态系统的关键功能及其现状，为论证有限人为活动对生态功能的影响提供支撑。</w:t>
            </w:r>
          </w:p>
          <w:p>
            <w:pPr>
              <w:pStyle w:val="null5"/>
              <w:jc w:val="left"/>
            </w:pPr>
            <w:r>
              <w:rPr>
                <w:rFonts w:ascii="仿宋_GB2312" w:hAnsi="仿宋_GB2312" w:cs="仿宋_GB2312" w:eastAsia="仿宋_GB2312"/>
                <w:sz w:val="21"/>
              </w:rPr>
              <w:t>三、建立监控制度</w:t>
            </w:r>
            <w:r>
              <w:rPr>
                <w:rFonts w:ascii="仿宋_GB2312" w:hAnsi="仿宋_GB2312" w:cs="仿宋_GB2312" w:eastAsia="仿宋_GB2312"/>
                <w:sz w:val="21"/>
              </w:rPr>
              <w:t>定期监测活动的进展情况、环境变化及其对生态系统的影响对及时发现的不良影响减轻研究和采取必要的补救措施。</w:t>
            </w:r>
          </w:p>
          <w:p>
            <w:pPr>
              <w:pStyle w:val="null5"/>
              <w:jc w:val="left"/>
            </w:pPr>
            <w:r>
              <w:rPr>
                <w:rFonts w:ascii="仿宋_GB2312" w:hAnsi="仿宋_GB2312" w:cs="仿宋_GB2312" w:eastAsia="仿宋_GB2312"/>
                <w:sz w:val="21"/>
              </w:rPr>
              <w:t>四、制定现场管理制度，彻底禁止违反生态红线的行为，要求严格管理，防止和纠正现场行为。</w:t>
            </w:r>
          </w:p>
          <w:p>
            <w:pPr>
              <w:pStyle w:val="null5"/>
              <w:jc w:val="left"/>
            </w:pPr>
            <w:r>
              <w:rPr>
                <w:rFonts w:ascii="仿宋_GB2312" w:hAnsi="仿宋_GB2312" w:cs="仿宋_GB2312" w:eastAsia="仿宋_GB2312"/>
                <w:sz w:val="21"/>
              </w:rPr>
              <w:t>划定方案及批复文件：明确生态保护红线的范围、边界、面积及功能分区等具体要求，作为论证活动是否在红线范围内及是否符合管控要求的依据。</w:t>
            </w:r>
          </w:p>
          <w:p>
            <w:pPr>
              <w:pStyle w:val="null5"/>
              <w:jc w:val="left"/>
            </w:pPr>
            <w:r>
              <w:rPr>
                <w:rFonts w:ascii="仿宋_GB2312" w:hAnsi="仿宋_GB2312" w:cs="仿宋_GB2312" w:eastAsia="仿宋_GB2312"/>
                <w:sz w:val="21"/>
              </w:rPr>
              <w:t>相关规划与政策法规：如国土空间规划、生态环境保护规划等，以及国家和地方关于生态保护红线的政策法规、标准规范，为论证报告提供政策导向和法律依据。</w:t>
            </w:r>
          </w:p>
          <w:p>
            <w:pPr>
              <w:pStyle w:val="null5"/>
              <w:jc w:val="left"/>
            </w:pPr>
            <w:r>
              <w:rPr>
                <w:rFonts w:ascii="仿宋_GB2312" w:hAnsi="仿宋_GB2312" w:cs="仿宋_GB2312" w:eastAsia="仿宋_GB2312"/>
                <w:sz w:val="21"/>
              </w:rPr>
              <w:t>现有人类活动状况资料</w:t>
            </w:r>
          </w:p>
          <w:p>
            <w:pPr>
              <w:pStyle w:val="null5"/>
              <w:jc w:val="left"/>
            </w:pPr>
            <w:r>
              <w:rPr>
                <w:rFonts w:ascii="仿宋_GB2312" w:hAnsi="仿宋_GB2312" w:cs="仿宋_GB2312" w:eastAsia="仿宋_GB2312"/>
                <w:sz w:val="21"/>
              </w:rPr>
              <w:t>土地利用现状：包括耕地、林地、建设用地等各类土地利用类型的分布和面积，了解当前土地利用状况，分析哪些区域已存在人为活动及对生态环境的影响程度。</w:t>
            </w:r>
          </w:p>
          <w:p>
            <w:pPr>
              <w:pStyle w:val="null5"/>
              <w:jc w:val="left"/>
            </w:pPr>
            <w:r>
              <w:rPr>
                <w:rFonts w:ascii="仿宋_GB2312" w:hAnsi="仿宋_GB2312" w:cs="仿宋_GB2312" w:eastAsia="仿宋_GB2312"/>
                <w:sz w:val="21"/>
              </w:rPr>
              <w:t>基础设施建设情况：交通、能源、水利等基础设施的分布、规模和运行情况，评估其对生态系统的分割、干扰等影响，以及在开展有限人为活动时是否需要进行优化或调整。</w:t>
            </w:r>
          </w:p>
          <w:p>
            <w:pPr>
              <w:pStyle w:val="null5"/>
              <w:jc w:val="left"/>
            </w:pPr>
            <w:r>
              <w:rPr>
                <w:rFonts w:ascii="仿宋_GB2312" w:hAnsi="仿宋_GB2312" w:cs="仿宋_GB2312" w:eastAsia="仿宋_GB2312"/>
                <w:sz w:val="21"/>
              </w:rPr>
              <w:t>产业发展现状：农业、工业、旅游业等产业的类型、规模、布局及发展趋势，分析现有产业活动对生态环境的压力，为确定合理的有限人为活动类型和强度提供参考。</w:t>
            </w:r>
          </w:p>
          <w:p>
            <w:pPr>
              <w:pStyle w:val="null5"/>
              <w:jc w:val="left"/>
            </w:pPr>
            <w:r>
              <w:rPr>
                <w:rFonts w:ascii="仿宋_GB2312" w:hAnsi="仿宋_GB2312" w:cs="仿宋_GB2312" w:eastAsia="仿宋_GB2312"/>
                <w:sz w:val="21"/>
              </w:rPr>
              <w:t>人口分布与社会经济数据：红线内及周边地区的人口数量、密度、分布特点，以及当地的经济发展水平、产业结构等，用于评估人口对生态环境的压力和有限人为活动的社会经济需求。</w:t>
            </w:r>
          </w:p>
          <w:p>
            <w:pPr>
              <w:pStyle w:val="null5"/>
              <w:jc w:val="left"/>
            </w:pPr>
            <w:r>
              <w:rPr>
                <w:rFonts w:ascii="仿宋_GB2312" w:hAnsi="仿宋_GB2312" w:cs="仿宋_GB2312" w:eastAsia="仿宋_GB2312"/>
                <w:sz w:val="21"/>
              </w:rPr>
              <w:t>五、现场定期检查，及时发现不符合生态红线要求的活动，并采取纠正措施，以保证活动安全合法、持续发展及生态保护。</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标的名称：咨询审查服务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设计图纸审查、施工图预算审核、清单审核、招标控制价审核、工程计量与工程款审核、工程变更、索赔、签证、工程实施阶段造价控制、竣工结算、其他（评估报告的审查、招标或采购文件的审查、法务中技术咨询、变更及审计中技术咨询、交工验收中技术咨询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标的名称：造价咨询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工程量清单及最高投标限价文件编制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供应商须具备工程勘察（工程测量专业）乙级（含乙级）以上资质及公路行业（含公路专业）设计乙级（含乙级）以上资质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项目负责人资格要求</w:t>
            </w:r>
          </w:p>
        </w:tc>
        <w:tc>
          <w:tcPr>
            <w:tcW w:type="dxa" w:w="4984"/>
          </w:tcPr>
          <w:p>
            <w:pPr>
              <w:pStyle w:val="null5"/>
              <w:jc w:val="left"/>
            </w:pPr>
            <w:r>
              <w:rPr>
                <w:rFonts w:ascii="仿宋_GB2312" w:hAnsi="仿宋_GB2312" w:cs="仿宋_GB2312" w:eastAsia="仿宋_GB2312"/>
              </w:rPr>
              <w:t>拟派本项目负责人需有工程系列高级专业技术职称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供应商须具备行业主管部门核发的城乡规划编制乙级及以上资质</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供应商须具备全国投资项目在线审批监管平台进行公路咨询专业备案且具有工程设计公路行业(含公路专业)乙级及以上设计资质(资质应在有效期内)。</w:t>
            </w:r>
          </w:p>
        </w:tc>
      </w:tr>
      <w:tr>
        <w:tc>
          <w:tcPr>
            <w:tcW w:type="dxa" w:w="3322"/>
          </w:tcPr>
          <w:p>
            <w:pPr>
              <w:pStyle w:val="null5"/>
              <w:jc w:val="left"/>
            </w:pPr>
            <w:r>
              <w:rPr>
                <w:rFonts w:ascii="仿宋_GB2312" w:hAnsi="仿宋_GB2312" w:cs="仿宋_GB2312" w:eastAsia="仿宋_GB2312"/>
              </w:rPr>
              <w:t>项目人员要求</w:t>
            </w:r>
          </w:p>
        </w:tc>
        <w:tc>
          <w:tcPr>
            <w:tcW w:type="dxa" w:w="4984"/>
          </w:tcPr>
          <w:p>
            <w:pPr>
              <w:pStyle w:val="null5"/>
              <w:jc w:val="left"/>
            </w:pPr>
            <w:r>
              <w:rPr>
                <w:rFonts w:ascii="仿宋_GB2312" w:hAnsi="仿宋_GB2312" w:cs="仿宋_GB2312" w:eastAsia="仿宋_GB2312"/>
              </w:rPr>
              <w:t>拟委派项目人员中至少一人须具备在本单位注册的全国一级造价工程师资格证书。</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项目负责人资格要求</w:t>
            </w:r>
          </w:p>
        </w:tc>
        <w:tc>
          <w:tcPr>
            <w:tcW w:type="dxa" w:w="4984"/>
          </w:tcPr>
          <w:p>
            <w:pPr>
              <w:pStyle w:val="null5"/>
              <w:jc w:val="left"/>
            </w:pPr>
            <w:r>
              <w:rPr>
                <w:rFonts w:ascii="仿宋_GB2312" w:hAnsi="仿宋_GB2312" w:cs="仿宋_GB2312" w:eastAsia="仿宋_GB2312"/>
              </w:rPr>
              <w:t>拟委派项目负责人须具备在本单位注册的全国一级造价工程师资格证书。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勘察设计服务方案</w:t>
            </w:r>
          </w:p>
        </w:tc>
        <w:tc>
          <w:tcPr>
            <w:tcW w:type="dxa" w:w="3115"/>
          </w:tcPr>
          <w:p>
            <w:pPr>
              <w:pStyle w:val="null5"/>
              <w:jc w:val="left"/>
            </w:pPr>
            <w:r>
              <w:rPr>
                <w:rFonts w:ascii="仿宋_GB2312" w:hAnsi="仿宋_GB2312" w:cs="仿宋_GB2312" w:eastAsia="仿宋_GB2312"/>
              </w:rPr>
              <w:t>由投标人编制切实可行的服务方案，方案内容至少应包括：对本项目工作的重点与难点分析、勘察设计工作内容、工作方案及计划工作量、管理方式、施工现场服务、拟派团队组成。 针对投标人对以上内容制定的方案的合理性、专业性、可靠性、完整性进行打分，优得30分，良得10-29分，一般得0-9分。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施工现场问题处理</w:t>
            </w:r>
          </w:p>
        </w:tc>
        <w:tc>
          <w:tcPr>
            <w:tcW w:type="dxa" w:w="3115"/>
          </w:tcPr>
          <w:p>
            <w:pPr>
              <w:pStyle w:val="null5"/>
              <w:jc w:val="left"/>
            </w:pPr>
            <w:r>
              <w:rPr>
                <w:rFonts w:ascii="仿宋_GB2312" w:hAnsi="仿宋_GB2312" w:cs="仿宋_GB2312" w:eastAsia="仿宋_GB2312"/>
              </w:rPr>
              <w:t>施工现场问题处理对策及时有效得10分，一般9-1分，差0分；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成本控制措施</w:t>
            </w:r>
          </w:p>
        </w:tc>
        <w:tc>
          <w:tcPr>
            <w:tcW w:type="dxa" w:w="3115"/>
          </w:tcPr>
          <w:p>
            <w:pPr>
              <w:pStyle w:val="null5"/>
              <w:jc w:val="left"/>
            </w:pPr>
            <w:r>
              <w:rPr>
                <w:rFonts w:ascii="仿宋_GB2312" w:hAnsi="仿宋_GB2312" w:cs="仿宋_GB2312" w:eastAsia="仿宋_GB2312"/>
              </w:rPr>
              <w:t>根据本项目的特点和要求制定成本控制措施；措施得力，有针对性的，评为好，得10-8（含）分；措施一般，针对性不强的评为较好，得7-2分（含）；阐述不全面、措施不力或方法不合理的，评为差，得1-0分（含）。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本项目的特点和要求制定质量保证措施；措施得力，有针对性的，评为好，得10-8（含）分；措施一般，针对性不强的评为较好，得7-2分（含）；阐述不全面、措施不力或方法不合理的，评为差，得1-0分（含）。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进度保证措施</w:t>
            </w:r>
          </w:p>
        </w:tc>
        <w:tc>
          <w:tcPr>
            <w:tcW w:type="dxa" w:w="3115"/>
          </w:tcPr>
          <w:p>
            <w:pPr>
              <w:pStyle w:val="null5"/>
              <w:jc w:val="left"/>
            </w:pPr>
            <w:r>
              <w:rPr>
                <w:rFonts w:ascii="仿宋_GB2312" w:hAnsi="仿宋_GB2312" w:cs="仿宋_GB2312" w:eastAsia="仿宋_GB2312"/>
              </w:rPr>
              <w:t>根据本项目的特点和要求制定进度保证措施；措施得力，有针对性的，评为好，得10-8（含）分；措施一般，针对性不强的评为较好，得7-2分（含）；阐述不全面、措施不力或方法不合理的，评为差，得1-0分（含）。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后续服务内容</w:t>
            </w:r>
          </w:p>
        </w:tc>
        <w:tc>
          <w:tcPr>
            <w:tcW w:type="dxa" w:w="3115"/>
          </w:tcPr>
          <w:p>
            <w:pPr>
              <w:pStyle w:val="null5"/>
              <w:jc w:val="left"/>
            </w:pPr>
            <w:r>
              <w:rPr>
                <w:rFonts w:ascii="仿宋_GB2312" w:hAnsi="仿宋_GB2312" w:cs="仿宋_GB2312" w:eastAsia="仿宋_GB2312"/>
              </w:rPr>
              <w:t>根据本项目的特点和要求制定制定后续服务内容；内容合理，有针对性的，评为好，得10-8（含）分；内容一般，针对性不强的评为较好，得7-2分（含）；阐述不全面、措施不力或方法不合理的，评为差，得1-0分（含）。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投标企业提供近三年（2022年1月1日至今）承接并完成类似勘察设计服务，每一合同得2分，最多得6分；（注：须在响应文件中提供服务合同或中标通知书原件扫描件，未提供不得分）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项目负责人资格</w:t>
            </w:r>
          </w:p>
        </w:tc>
        <w:tc>
          <w:tcPr>
            <w:tcW w:type="dxa" w:w="3115"/>
          </w:tcPr>
          <w:p>
            <w:pPr>
              <w:pStyle w:val="null5"/>
              <w:jc w:val="left"/>
            </w:pPr>
            <w:r>
              <w:rPr>
                <w:rFonts w:ascii="仿宋_GB2312" w:hAnsi="仿宋_GB2312" w:cs="仿宋_GB2312" w:eastAsia="仿宋_GB2312"/>
              </w:rPr>
              <w:t>项目负责人具备公路工程相关专业工程师加2分，高级工程师加4分。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项目实施方案编写包括：（1）总体规划（2）工作流程（3）服务响应速度 （4）专业人员组织和调整方案（5）类似项目工作经验的积累程度（6）后续服务。每少一项扣5分，所提供的方案中每有一处缺陷（缺陷是指凭空编造、内容前后不一致、前后逻辑错误、涉及的规范及 标准错 误、地点区域错误、内容缺失、没有具体说明、不符合采购需求） 的扣2分，扣完为止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进度计划承诺</w:t>
            </w:r>
          </w:p>
        </w:tc>
        <w:tc>
          <w:tcPr>
            <w:tcW w:type="dxa" w:w="3115"/>
          </w:tcPr>
          <w:p>
            <w:pPr>
              <w:pStyle w:val="null5"/>
              <w:jc w:val="left"/>
            </w:pPr>
            <w:r>
              <w:rPr>
                <w:rFonts w:ascii="仿宋_GB2312" w:hAnsi="仿宋_GB2312" w:cs="仿宋_GB2312" w:eastAsia="仿宋_GB2312"/>
              </w:rPr>
              <w:t>投标单位应承诺按时、保质完成招标人的要求： （1）在招标人规定的服务期限内完成本项目的招标工作。 （2）协助甲方完成项目上会及评审、意见修改并报批至辖区内监管部门并取得相应的 手续。 每项承诺5分，没有不得分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(1)根据投标人对本项目的工作人员安排及服务质量保障措施；（2）有科 学合理的团队架构分工明确的团队职责； （3）投标人对本项目的组织实施 进度管控，至少包括:项目阶段安排；（4）项目团队保障进度管控等内容质 量保证措施；（5）重点难点解决方案。 每少一项扣6分，所提供的方案中每有一处缺陷（缺陷是指凭空编造、内容前后不一致、前后逻辑错误、涉 及的规范及标准错误、地点区域错误、内容缺失、没有具体说明、不符合 采购需求）的扣2分，扣完为止。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管理制度包含但不限于以下内容：质量控制制度、 档案管理制度、公司管理制度、财务管理制度、保 密制度等；每少一项扣2分，所提供的方案中每有一处缺陷（缺陷是指凭空编造、内容前后不一致、前后逻辑错误、涉 及的规范及标准错误、地点区域错误、内容缺失、没有具体说明、不符合 采购需求）的扣1分，扣完为止。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投标企业提供近三年(2022 年 01 月 01 日至今)承接并完成类似服务业绩，每一合同得3分，最多得6分；（注：须在响应文件中提供服务合同或中标通知书原件扫描件，未提供不得分）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项目负责人近三年(2022 年 01 月 01 日至今)类似业绩，每个有效的类似业绩得 2分，最多加4分；（注：须在响应文件中提供服务合同或中标通知书原件扫描件，未提供不得分）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项目实施方案编写包括：（1）总体规划（2）工作流程（3）服务响应速度 （4）专业人员组织和调整方案（5）类似项目工作经验的积累程度（6）后续服务。每少一项扣5分，所提供的方案中每有一处缺陷（缺陷是指凭空编造、内容前后不一致、前后逻辑错误、涉及的规范及 标准错 误、地点区域错误、内容缺失、没有具体说明、不符合采购需求） 的扣2分，扣完为止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进度计划承诺</w:t>
            </w:r>
          </w:p>
        </w:tc>
        <w:tc>
          <w:tcPr>
            <w:tcW w:type="dxa" w:w="3115"/>
          </w:tcPr>
          <w:p>
            <w:pPr>
              <w:pStyle w:val="null5"/>
              <w:jc w:val="left"/>
            </w:pPr>
            <w:r>
              <w:rPr>
                <w:rFonts w:ascii="仿宋_GB2312" w:hAnsi="仿宋_GB2312" w:cs="仿宋_GB2312" w:eastAsia="仿宋_GB2312"/>
              </w:rPr>
              <w:t>投标单位应承诺按时、保质完成招标人的要求： （1）在招标人规定的服务期限内完成本项目的招标工作。 （2）协助甲方完成项目上会及评审、意见修改并报批至辖区内监管部门并取得相应的 手续。 每项承诺5分，没有不得分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(1)根据投标人对本项目的工作人员安排及服务质量保障措施；（2）有科 学合理的团队架构分工明确的团队职责； （3）投标人对本项目的组织实施 进度管控，至少包括:项目阶段安排；（4）项目团队保障进度管控等内容质 量保证措施；（5）重点难点解决方案。 每少一项扣6分，所提供的方案中每有一处缺陷（缺陷是指凭空编造、内容前后不一致、前后逻辑错误、涉 及的规范及标准错误、地点区域错误、内容缺失、没有具体说明、不符合 采购需求）的扣2分，扣完为止。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管理制度包含但不限于以下内容：质量控制制度、 档案管理制度、公司管理制度、财务管理制度、保 密制度等；每少一项扣2分，所提供的方案中每有一处缺陷（缺陷是指凭空编造、内容前后不一致、前后逻辑错误、涉 及的规范及标准错误、地点区域错误、内容缺失、没有具体说明、不符合 采购需求）的扣1分，扣完为止。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投标企业提供近三年(2022 年 01 月 01 日至今)承接并完成类似服务业绩，每一合同得3分，最多得6分；（注：须在响应文件中提供服务合同或中标通知书原件扫描件，未提供不得分）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项目负责人近三年(2022 年 01 月 01 日至今)类似业绩，每个有效的类似业绩得 2分，最多加4分；（注：须在响应文件中提供服务合同或中标通知书原件扫描件，未提供不得分）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技术部分83.00分</w:t>
            </w:r>
          </w:p>
          <w:p>
            <w:pPr>
              <w:pStyle w:val="null5"/>
              <w:jc w:val="left"/>
            </w:pPr>
            <w:r>
              <w:rPr>
                <w:rFonts w:ascii="仿宋_GB2312" w:hAnsi="仿宋_GB2312" w:cs="仿宋_GB2312" w:eastAsia="仿宋_GB2312"/>
              </w:rPr>
              <w:t>商务部分7.00分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对本项目全过程工程咨询服务的理解和总体策划</w:t>
            </w:r>
          </w:p>
        </w:tc>
        <w:tc>
          <w:tcPr>
            <w:tcW w:type="dxa" w:w="3115"/>
          </w:tcPr>
          <w:p>
            <w:pPr>
              <w:pStyle w:val="null5"/>
              <w:jc w:val="left"/>
            </w:pPr>
            <w:r>
              <w:rPr>
                <w:rFonts w:ascii="仿宋_GB2312" w:hAnsi="仿宋_GB2312" w:cs="仿宋_GB2312" w:eastAsia="仿宋_GB2312"/>
              </w:rPr>
              <w:t>针对（1）项目总体策划，（2）咨询工作内容的了解程度，（3）技术要点、政策因素的把握情况，（4）类似项目工作经验的积累程度等进行阐述。每少一项扣10分，每一项中所提供的方案中每有一处缺陷（缺陷是指凭空编造、内容前后不一致、前后逻辑错误、涉及的规范及 标准错 误、地点区域错误、内容缺失、没有具体说明、不符合采购需求） 的扣5分，扣完为止。</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咨询服务的工作重点、难点分析及应对措施</w:t>
            </w:r>
          </w:p>
        </w:tc>
        <w:tc>
          <w:tcPr>
            <w:tcW w:type="dxa" w:w="3115"/>
          </w:tcPr>
          <w:p>
            <w:pPr>
              <w:pStyle w:val="null5"/>
              <w:jc w:val="left"/>
            </w:pPr>
            <w:r>
              <w:rPr>
                <w:rFonts w:ascii="仿宋_GB2312" w:hAnsi="仿宋_GB2312" w:cs="仿宋_GB2312" w:eastAsia="仿宋_GB2312"/>
              </w:rPr>
              <w:t>投标人对本项目主要咨询服务工作内容的阐述，重点、难点 问题的分析及针对重点、难点问题提出的措施、建议、意见的合规性、科学性等，针对投标人对以上内容制定的方案的合理性、专业性、可靠性、完整性进行打分，优得15分，良得7-14分，一般得0-6分。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咨询服务关键线 路与关键节点时间、各专项咨询服 务间的协同配合管理、咨询服务的组织机构及人员安排</w:t>
            </w:r>
          </w:p>
        </w:tc>
        <w:tc>
          <w:tcPr>
            <w:tcW w:type="dxa" w:w="3115"/>
          </w:tcPr>
          <w:p>
            <w:pPr>
              <w:pStyle w:val="null5"/>
              <w:jc w:val="left"/>
            </w:pPr>
            <w:r>
              <w:rPr>
                <w:rFonts w:ascii="仿宋_GB2312" w:hAnsi="仿宋_GB2312" w:cs="仿宋_GB2312" w:eastAsia="仿宋_GB2312"/>
              </w:rPr>
              <w:t>投标人对本项目咨询服务工作关键线路与关键节点时间的 策划与安排，各专项咨询服务工作协同配 合管理方案的完整性、合理可行性，咨询 服务组织机构及人员安排的科学性、合理性等，针对投标人对以上内容制定的方案的合理性、专业性、可靠性、完整性进行打分，优得15分，良得7-14分，一般得0-6分。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咨询服务的质量、进度、安全保证措施等及对业主的 合理化建议</w:t>
            </w:r>
          </w:p>
        </w:tc>
        <w:tc>
          <w:tcPr>
            <w:tcW w:type="dxa" w:w="3115"/>
          </w:tcPr>
          <w:p>
            <w:pPr>
              <w:pStyle w:val="null5"/>
              <w:jc w:val="left"/>
            </w:pPr>
            <w:r>
              <w:rPr>
                <w:rFonts w:ascii="仿宋_GB2312" w:hAnsi="仿宋_GB2312" w:cs="仿宋_GB2312" w:eastAsia="仿宋_GB2312"/>
              </w:rPr>
              <w:t>投标人对本项目提供的各项服务保证措施的合理、可行性，编制成果性文件质量、进度、安全保证措施的承诺，后续服务承诺及合理化建议的完整性、及时性、科学性等，针对投标人对以上内容制定的方案的合理性、专业性、可靠性、完整性进行打分，优得13分，良得6-12分，一般得0-5分。</w:t>
            </w:r>
          </w:p>
        </w:tc>
        <w:tc>
          <w:tcPr>
            <w:tcW w:type="dxa" w:w="1038"/>
          </w:tcPr>
          <w:p>
            <w:pPr>
              <w:pStyle w:val="null5"/>
              <w:jc w:val="right"/>
            </w:pPr>
            <w:r>
              <w:rPr>
                <w:rFonts w:ascii="仿宋_GB2312" w:hAnsi="仿宋_GB2312" w:cs="仿宋_GB2312" w:eastAsia="仿宋_GB2312"/>
              </w:rPr>
              <w:t>13.00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主要人员资格</w:t>
            </w:r>
          </w:p>
        </w:tc>
        <w:tc>
          <w:tcPr>
            <w:tcW w:type="dxa" w:w="3115"/>
          </w:tcPr>
          <w:p>
            <w:pPr>
              <w:pStyle w:val="null5"/>
              <w:jc w:val="left"/>
            </w:pPr>
            <w:r>
              <w:rPr>
                <w:rFonts w:ascii="仿宋_GB2312" w:hAnsi="仿宋_GB2312" w:cs="仿宋_GB2312" w:eastAsia="仿宋_GB2312"/>
              </w:rPr>
              <w:t>除资格要求的一级造价工程师外，主要人员中： 具有公路工程相关专业高级技术职称的，加2分； 具有注册土木工程师（岩土）执业证书或注册土木工程师（道路）执业证书或公路专业咨询工程师（投资）登记证书的加5分。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企业经营与管理制度</w:t>
            </w:r>
          </w:p>
        </w:tc>
        <w:tc>
          <w:tcPr>
            <w:tcW w:type="dxa" w:w="3115"/>
          </w:tcPr>
          <w:p>
            <w:pPr>
              <w:pStyle w:val="null5"/>
              <w:jc w:val="left"/>
            </w:pPr>
            <w:r>
              <w:rPr>
                <w:rFonts w:ascii="仿宋_GB2312" w:hAnsi="仿宋_GB2312" w:cs="仿宋_GB2312" w:eastAsia="仿宋_GB2312"/>
              </w:rPr>
              <w:t>（1）供应商提供经营与管理制度内容健全，企业经营与管理制度规范，内容包含有具体的组织结构图、管理人员岗位说明书、技术服务人员岗位说明书、工作技术标准、服务项目流程及标准、培训计划方案等有关规章制度，企业内部岗位分工明确，服务项目流程制定有相应措施，拥有良好的企业文化制度的，得15-20分； （2）供应商提供经营与管理制度内容较健全，内容包含有组织结构图、管理人员岗位说明书、技术服务人员岗位说明书、工作技术标准、服务项目流程及标准、培训计划方案有关规章制度的，得8-14分； （3） 满足采购文件要求，方案包含有简单的组织结构图、管理人员岗位说明书、技术服务人员岗位说明书、工作技术标准规章制度的，得1-7分。 未提供的不得分。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质量管控措施</w:t>
            </w:r>
          </w:p>
        </w:tc>
        <w:tc>
          <w:tcPr>
            <w:tcW w:type="dxa" w:w="3115"/>
          </w:tcPr>
          <w:p>
            <w:pPr>
              <w:pStyle w:val="null5"/>
              <w:jc w:val="left"/>
            </w:pPr>
            <w:r>
              <w:rPr>
                <w:rFonts w:ascii="仿宋_GB2312" w:hAnsi="仿宋_GB2312" w:cs="仿宋_GB2312" w:eastAsia="仿宋_GB2312"/>
              </w:rPr>
              <w:t>（1）质量管控措施内容具体，质量管控体系明确，制度完善，组织架构清晰，流程规范，工作职责明确；控制编制质量误差率小的相对应措施，具有可操作性，针对性强；对各类专业工程有具体的管理措施（包含编制重点难点、编制依据的重点难点、重大材料设备询价）；重大争议问题的提出和解决相关措施；建立特殊材料设备价格库；造价指标对比分析方法，得11-15分； （2）质量管控措施内容较具体，质量管控体系明确，制度完善，组织架构清晰，流程规范，工作职责明确；控制编制质量误差率的相对应措施；对各类专业工程具体的管理措施（包重点难点、编制依据的重点难点、重大材料设备询价），得6-10分； （3）质量管控措施内容简单，仅包含质量管控体系、制度、组织架构、流程、工作职责，得1-5分。 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进度控制措施</w:t>
            </w:r>
          </w:p>
        </w:tc>
        <w:tc>
          <w:tcPr>
            <w:tcW w:type="dxa" w:w="3115"/>
          </w:tcPr>
          <w:p>
            <w:pPr>
              <w:pStyle w:val="null5"/>
              <w:jc w:val="left"/>
            </w:pPr>
            <w:r>
              <w:rPr>
                <w:rFonts w:ascii="仿宋_GB2312" w:hAnsi="仿宋_GB2312" w:cs="仿宋_GB2312" w:eastAsia="仿宋_GB2312"/>
              </w:rPr>
              <w:t>（1）进度管控措施内容具体，进度管控体系明确，制度完善，组织架构清晰，流程规范，工作职责明确。 控制编制进度延迟率小的相对应措施，具有可操作性，针对性强。 可按规定时间提前10% 完成工作任务，并提供具有清晰合理的评审流程，得11-15分； （2）进度管控措施内容，进度管控体系较明确，制度较完善，组织架构较清晰，流程较规范，工作职责较明确； 控制进度延迟率的相对应措施。 可按规定时间提前5% 完成工作任务，并提供具有清晰合理的评审流程， 得6-10分； （3）进度管控措施内容简单，仅包含进度管控体系、制度、组织架构、流程、工作职责，得1-5分； 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风险防控和廉洁建设</w:t>
            </w:r>
          </w:p>
        </w:tc>
        <w:tc>
          <w:tcPr>
            <w:tcW w:type="dxa" w:w="3115"/>
          </w:tcPr>
          <w:p>
            <w:pPr>
              <w:pStyle w:val="null5"/>
              <w:jc w:val="left"/>
            </w:pPr>
            <w:r>
              <w:rPr>
                <w:rFonts w:ascii="仿宋_GB2312" w:hAnsi="仿宋_GB2312" w:cs="仿宋_GB2312" w:eastAsia="仿宋_GB2312"/>
              </w:rPr>
              <w:t>（1）风险防控和廉洁建设措施内容具体，保密制度、廉洁制度完善，组织架构清晰，流程规范，工作职责明确，梳理审核风险点和廉洁风险点，提出有针对性的防控措施；定期进行风险防控案例专题讨论，廉洁教育学习，提供记录及照片等证明材料的，得11-15分； （2）风险防控和廉洁建设措施内容较具体，保密制度、廉洁制度完善，组织架构清晰，流程规范，工作职责明确，梳理审核风险点和廉洁风险点，提出有针对性的防控措施的，得6-10分； （3）风险防控和廉洁建设措施内容简单，仅包含防控措施、保密制度、廉洁制度、组织架构、流程、工作职责的，得1-5分。 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规定时间完成工作任务，且流程清晰合理，针对项目的编制流程提出优化、合理的服务承诺并具有可操作性，11-15分； 规定时间完成工作任务，服务承诺满足采购需求，内容简单，1-10分。未提供的不得分。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供应商提供合同签订日期自2022年1月1日至今同类或相似造价咨询业绩。每提供一个业绩得3分，满 分6分。 （注：须在响应文件中提供服务合同或中标通知书原件扫描件，未提供不得分）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服务人员资格</w:t>
            </w:r>
          </w:p>
        </w:tc>
        <w:tc>
          <w:tcPr>
            <w:tcW w:type="dxa" w:w="3115"/>
          </w:tcPr>
          <w:p>
            <w:pPr>
              <w:pStyle w:val="null5"/>
              <w:jc w:val="left"/>
            </w:pPr>
            <w:r>
              <w:rPr>
                <w:rFonts w:ascii="仿宋_GB2312" w:hAnsi="仿宋_GB2312" w:cs="仿宋_GB2312" w:eastAsia="仿宋_GB2312"/>
              </w:rPr>
              <w:t>拟派本项目服务人员，除项目负责人外，每增加一个一级注册造价师加2分，最多加4分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