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Look w:val="04A0" w:firstRow="1" w:lastRow="0" w:firstColumn="1" w:lastColumn="0" w:noHBand="0" w:noVBand="1"/>
      </w:tblPr>
      <w:tblGrid>
        <w:gridCol w:w="771"/>
        <w:gridCol w:w="1181"/>
        <w:gridCol w:w="4573"/>
        <w:gridCol w:w="836"/>
        <w:gridCol w:w="1161"/>
      </w:tblGrid>
      <w:tr w:rsidR="00EE6555" w14:paraId="3D2ABD67" w14:textId="77777777">
        <w:tc>
          <w:tcPr>
            <w:tcW w:w="1952" w:type="dxa"/>
            <w:gridSpan w:val="2"/>
            <w:vAlign w:val="center"/>
          </w:tcPr>
          <w:p w14:paraId="5B5A2F2E"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评审因素</w:t>
            </w:r>
          </w:p>
        </w:tc>
        <w:tc>
          <w:tcPr>
            <w:tcW w:w="6570" w:type="dxa"/>
            <w:gridSpan w:val="3"/>
            <w:vAlign w:val="center"/>
          </w:tcPr>
          <w:p w14:paraId="782FD874"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评审标准</w:t>
            </w:r>
          </w:p>
        </w:tc>
      </w:tr>
      <w:tr w:rsidR="00EE6555" w14:paraId="61CBA9E1" w14:textId="77777777">
        <w:tc>
          <w:tcPr>
            <w:tcW w:w="1952" w:type="dxa"/>
            <w:gridSpan w:val="2"/>
            <w:vAlign w:val="center"/>
          </w:tcPr>
          <w:p w14:paraId="26C9C7C6"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分值构成</w:t>
            </w:r>
          </w:p>
        </w:tc>
        <w:tc>
          <w:tcPr>
            <w:tcW w:w="6570" w:type="dxa"/>
            <w:gridSpan w:val="3"/>
            <w:vAlign w:val="center"/>
          </w:tcPr>
          <w:p w14:paraId="3EA3059B" w14:textId="77777777" w:rsidR="00EE6555" w:rsidRDefault="00000000">
            <w:pPr>
              <w:widowControl/>
              <w:jc w:val="left"/>
              <w:rPr>
                <w:rFonts w:ascii="宋体" w:eastAsia="宋体" w:hAnsi="宋体" w:cs="宋体" w:hint="eastAsia"/>
              </w:rPr>
            </w:pPr>
            <w:r>
              <w:rPr>
                <w:rFonts w:ascii="宋体" w:eastAsia="宋体" w:hAnsi="宋体" w:cs="宋体" w:hint="eastAsia"/>
                <w:color w:val="000000"/>
                <w:kern w:val="0"/>
                <w:sz w:val="19"/>
                <w:szCs w:val="19"/>
                <w:lang w:bidi="ar"/>
              </w:rPr>
              <w:t>技术部分35.00分</w:t>
            </w:r>
          </w:p>
          <w:p w14:paraId="78FC1F1D" w14:textId="77777777" w:rsidR="00EE6555" w:rsidRDefault="00000000">
            <w:pPr>
              <w:widowControl/>
              <w:jc w:val="left"/>
              <w:rPr>
                <w:rFonts w:ascii="宋体" w:eastAsia="宋体" w:hAnsi="宋体" w:cs="宋体" w:hint="eastAsia"/>
              </w:rPr>
            </w:pPr>
            <w:r>
              <w:rPr>
                <w:rFonts w:ascii="宋体" w:eastAsia="宋体" w:hAnsi="宋体" w:cs="宋体" w:hint="eastAsia"/>
                <w:color w:val="000000"/>
                <w:kern w:val="0"/>
                <w:sz w:val="19"/>
                <w:szCs w:val="19"/>
                <w:lang w:bidi="ar"/>
              </w:rPr>
              <w:t>商务部分15.00分</w:t>
            </w:r>
          </w:p>
          <w:p w14:paraId="4D538707" w14:textId="77777777" w:rsidR="00EE6555" w:rsidRDefault="00000000">
            <w:pPr>
              <w:widowControl/>
              <w:jc w:val="left"/>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报价得分50.00分</w:t>
            </w:r>
          </w:p>
        </w:tc>
      </w:tr>
      <w:tr w:rsidR="00EE6555" w14:paraId="2CFFE5BF" w14:textId="77777777">
        <w:tc>
          <w:tcPr>
            <w:tcW w:w="771" w:type="dxa"/>
            <w:vAlign w:val="center"/>
          </w:tcPr>
          <w:p w14:paraId="41DEE1C5" w14:textId="77777777" w:rsidR="00EE6555" w:rsidRDefault="00000000">
            <w:pPr>
              <w:widowControl/>
              <w:jc w:val="center"/>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评审因素分类</w:t>
            </w:r>
          </w:p>
        </w:tc>
        <w:tc>
          <w:tcPr>
            <w:tcW w:w="1181" w:type="dxa"/>
            <w:vAlign w:val="center"/>
          </w:tcPr>
          <w:p w14:paraId="46719FA8" w14:textId="77777777" w:rsidR="00EE6555" w:rsidRDefault="00000000">
            <w:pPr>
              <w:widowControl/>
              <w:jc w:val="center"/>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评审项</w:t>
            </w:r>
          </w:p>
        </w:tc>
        <w:tc>
          <w:tcPr>
            <w:tcW w:w="4573" w:type="dxa"/>
            <w:vAlign w:val="center"/>
          </w:tcPr>
          <w:p w14:paraId="4D50DDE0" w14:textId="77777777" w:rsidR="00EE6555" w:rsidRDefault="00000000">
            <w:pPr>
              <w:widowControl/>
              <w:jc w:val="center"/>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详细描述</w:t>
            </w:r>
          </w:p>
        </w:tc>
        <w:tc>
          <w:tcPr>
            <w:tcW w:w="836" w:type="dxa"/>
            <w:vAlign w:val="center"/>
          </w:tcPr>
          <w:p w14:paraId="0EC54F27" w14:textId="77777777" w:rsidR="00EE6555" w:rsidRDefault="00000000">
            <w:pPr>
              <w:widowControl/>
              <w:jc w:val="center"/>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分值</w:t>
            </w:r>
          </w:p>
        </w:tc>
        <w:tc>
          <w:tcPr>
            <w:tcW w:w="1161" w:type="dxa"/>
            <w:vAlign w:val="center"/>
          </w:tcPr>
          <w:p w14:paraId="481528EF" w14:textId="77777777" w:rsidR="00EE6555" w:rsidRDefault="00000000">
            <w:pPr>
              <w:widowControl/>
              <w:jc w:val="center"/>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客观/主观</w:t>
            </w:r>
          </w:p>
        </w:tc>
      </w:tr>
      <w:tr w:rsidR="00EE6555" w14:paraId="773D42E5" w14:textId="77777777">
        <w:tc>
          <w:tcPr>
            <w:tcW w:w="771" w:type="dxa"/>
            <w:vMerge w:val="restart"/>
            <w:vAlign w:val="center"/>
          </w:tcPr>
          <w:p w14:paraId="7BB39D08"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Cs w:val="21"/>
                <w:lang w:bidi="ar"/>
              </w:rPr>
              <w:t>技术部分</w:t>
            </w:r>
          </w:p>
        </w:tc>
        <w:tc>
          <w:tcPr>
            <w:tcW w:w="1181" w:type="dxa"/>
            <w:vAlign w:val="center"/>
          </w:tcPr>
          <w:p w14:paraId="60F41968"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技术参数指标响应性</w:t>
            </w:r>
          </w:p>
        </w:tc>
        <w:tc>
          <w:tcPr>
            <w:tcW w:w="4573" w:type="dxa"/>
          </w:tcPr>
          <w:p w14:paraId="19689880" w14:textId="77777777" w:rsidR="00EE6555" w:rsidRDefault="00000000">
            <w:pPr>
              <w:widowControl/>
              <w:jc w:val="left"/>
              <w:rPr>
                <w:rFonts w:ascii="宋体" w:eastAsia="宋体" w:hAnsi="宋体" w:cs="宋体" w:hint="eastAsia"/>
                <w:color w:val="333333"/>
                <w:szCs w:val="21"/>
                <w:highlight w:val="yellow"/>
                <w:u w:val="single"/>
                <w:shd w:val="clear" w:color="auto" w:fill="FFFFFF"/>
              </w:rPr>
            </w:pPr>
            <w:r>
              <w:rPr>
                <w:rFonts w:ascii="宋体" w:eastAsia="宋体" w:hAnsi="宋体" w:cs="宋体" w:hint="eastAsia"/>
                <w:color w:val="000000"/>
                <w:kern w:val="0"/>
                <w:szCs w:val="21"/>
                <w:lang w:bidi="ar"/>
              </w:rPr>
              <w:t>投标文件是否满足招标文件中有关技术标准的要求，完全满足招标文件中参数要求的得10分。标“★”号条款为实质性条款，若有任何一条负偏离或不满足则导致投标无效。投标人一般技术参数（非标“★”的技术参数）无负偏离得10分， 若出现负偏离，每有1项减0.5分，如负偏离超过20项，该项记为0分。 注：技术参数按序号分项（序号有分级的按分级分项）。 每级序号下无序号的算一项。</w:t>
            </w:r>
          </w:p>
        </w:tc>
        <w:tc>
          <w:tcPr>
            <w:tcW w:w="836" w:type="dxa"/>
            <w:vAlign w:val="center"/>
          </w:tcPr>
          <w:p w14:paraId="34DA3728"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Cs w:val="21"/>
                <w:lang w:bidi="ar"/>
              </w:rPr>
              <w:t>10.0分</w:t>
            </w:r>
          </w:p>
        </w:tc>
        <w:tc>
          <w:tcPr>
            <w:tcW w:w="1161" w:type="dxa"/>
            <w:vAlign w:val="center"/>
          </w:tcPr>
          <w:p w14:paraId="70FB8534" w14:textId="77777777" w:rsidR="00EE6555" w:rsidRDefault="00000000">
            <w:pPr>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Cs w:val="21"/>
                <w:lang w:bidi="ar"/>
              </w:rPr>
              <w:t>客观</w:t>
            </w:r>
          </w:p>
        </w:tc>
      </w:tr>
      <w:tr w:rsidR="00EE6555" w14:paraId="1DE9F10B" w14:textId="77777777">
        <w:tc>
          <w:tcPr>
            <w:tcW w:w="771" w:type="dxa"/>
            <w:vMerge/>
          </w:tcPr>
          <w:p w14:paraId="65A035CC" w14:textId="77777777" w:rsidR="00EE6555" w:rsidRDefault="00EE6555">
            <w:pPr>
              <w:rPr>
                <w:rFonts w:ascii="仿宋" w:eastAsia="仿宋" w:hAnsi="仿宋" w:cs="仿宋" w:hint="eastAsia"/>
                <w:color w:val="333333"/>
                <w:sz w:val="31"/>
                <w:szCs w:val="31"/>
                <w:highlight w:val="yellow"/>
                <w:u w:val="single"/>
                <w:shd w:val="clear" w:color="auto" w:fill="FFFFFF"/>
              </w:rPr>
            </w:pPr>
          </w:p>
        </w:tc>
        <w:tc>
          <w:tcPr>
            <w:tcW w:w="1181" w:type="dxa"/>
            <w:vAlign w:val="center"/>
          </w:tcPr>
          <w:p w14:paraId="2B59DEED" w14:textId="77777777" w:rsidR="00EE6555" w:rsidRDefault="00000000">
            <w:pPr>
              <w:widowControl/>
              <w:jc w:val="center"/>
            </w:pPr>
            <w:r>
              <w:rPr>
                <w:rFonts w:ascii="宋体" w:eastAsia="宋体" w:hAnsi="宋体" w:cs="宋体" w:hint="eastAsia"/>
                <w:color w:val="000000"/>
                <w:kern w:val="0"/>
                <w:sz w:val="19"/>
                <w:szCs w:val="19"/>
                <w:lang w:bidi="ar"/>
              </w:rPr>
              <w:t>项目实施、供货及安装及调试方案</w:t>
            </w:r>
          </w:p>
          <w:p w14:paraId="2035B6E3" w14:textId="77777777" w:rsidR="00EE6555" w:rsidRDefault="00EE6555">
            <w:pPr>
              <w:jc w:val="center"/>
              <w:rPr>
                <w:rFonts w:ascii="仿宋" w:eastAsia="仿宋" w:hAnsi="仿宋" w:cs="仿宋" w:hint="eastAsia"/>
                <w:color w:val="333333"/>
                <w:sz w:val="31"/>
                <w:szCs w:val="31"/>
                <w:highlight w:val="yellow"/>
                <w:u w:val="single"/>
                <w:shd w:val="clear" w:color="auto" w:fill="FFFFFF"/>
              </w:rPr>
            </w:pPr>
          </w:p>
        </w:tc>
        <w:tc>
          <w:tcPr>
            <w:tcW w:w="4573" w:type="dxa"/>
          </w:tcPr>
          <w:p w14:paraId="005F0F4D" w14:textId="77777777" w:rsidR="00EE6555" w:rsidRDefault="00000000">
            <w:pPr>
              <w:widowControl/>
              <w:jc w:val="left"/>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Cs w:val="21"/>
                <w:lang w:bidi="ar"/>
              </w:rPr>
              <w:t>供应商应结合本项目实际情况及特点，提供针对本项目的供货实施方案，包括： ①产品包装方案； ②产品出库方案； ③供货时间保证方案； ④供货质量保证方案； ⑤供货过程风险防控机制。 每小项得3分，缺项和未提供不得分。 所提供的每小项方案中有缺陷(</w:t>
            </w:r>
            <w:r>
              <w:rPr>
                <w:rFonts w:ascii="宋体" w:eastAsia="宋体" w:hAnsi="宋体" w:cs="宋体" w:hint="eastAsia"/>
                <w:b/>
                <w:bCs/>
                <w:color w:val="000000"/>
                <w:kern w:val="0"/>
                <w:sz w:val="19"/>
                <w:szCs w:val="19"/>
                <w:lang w:bidi="ar"/>
              </w:rPr>
              <w:t>内容存在缺陷或不足是指内容不满足项目要求或与项目无关的或与项目不匹配或项目名称、实施地点、涉及的规范、技术服务标准要求与本项目不一致或逻辑不通等情形</w:t>
            </w:r>
            <w:r>
              <w:rPr>
                <w:rFonts w:ascii="宋体" w:eastAsia="宋体" w:hAnsi="宋体" w:cs="宋体" w:hint="eastAsia"/>
                <w:color w:val="000000"/>
                <w:kern w:val="0"/>
                <w:szCs w:val="21"/>
                <w:lang w:bidi="ar"/>
              </w:rPr>
              <w:t>)则该小项得1分。</w:t>
            </w:r>
          </w:p>
        </w:tc>
        <w:tc>
          <w:tcPr>
            <w:tcW w:w="836" w:type="dxa"/>
            <w:vAlign w:val="center"/>
          </w:tcPr>
          <w:p w14:paraId="2DF52CB0" w14:textId="77777777" w:rsidR="00EE6555"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15.0分</w:t>
            </w:r>
          </w:p>
        </w:tc>
        <w:tc>
          <w:tcPr>
            <w:tcW w:w="1161" w:type="dxa"/>
            <w:vAlign w:val="center"/>
          </w:tcPr>
          <w:p w14:paraId="411FC3B4" w14:textId="77777777" w:rsidR="00EE6555"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主观</w:t>
            </w:r>
          </w:p>
        </w:tc>
      </w:tr>
      <w:tr w:rsidR="00EE6555" w14:paraId="716FB160" w14:textId="77777777">
        <w:tc>
          <w:tcPr>
            <w:tcW w:w="771" w:type="dxa"/>
            <w:vMerge/>
          </w:tcPr>
          <w:p w14:paraId="11AA8044" w14:textId="77777777" w:rsidR="00EE6555" w:rsidRDefault="00EE6555">
            <w:pPr>
              <w:rPr>
                <w:rFonts w:ascii="仿宋" w:eastAsia="仿宋" w:hAnsi="仿宋" w:cs="仿宋" w:hint="eastAsia"/>
                <w:color w:val="333333"/>
                <w:sz w:val="31"/>
                <w:szCs w:val="31"/>
                <w:highlight w:val="yellow"/>
                <w:u w:val="single"/>
                <w:shd w:val="clear" w:color="auto" w:fill="FFFFFF"/>
              </w:rPr>
            </w:pPr>
          </w:p>
        </w:tc>
        <w:tc>
          <w:tcPr>
            <w:tcW w:w="1181" w:type="dxa"/>
            <w:vAlign w:val="center"/>
          </w:tcPr>
          <w:p w14:paraId="714052E9" w14:textId="77777777" w:rsidR="00EE6555" w:rsidRDefault="00000000">
            <w:pPr>
              <w:widowControl/>
              <w:jc w:val="center"/>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 w:val="19"/>
                <w:szCs w:val="19"/>
                <w:lang w:bidi="ar"/>
              </w:rPr>
              <w:t>验收方案</w:t>
            </w:r>
          </w:p>
        </w:tc>
        <w:tc>
          <w:tcPr>
            <w:tcW w:w="4573" w:type="dxa"/>
          </w:tcPr>
          <w:p w14:paraId="41FBE942" w14:textId="77777777" w:rsidR="00EE6555" w:rsidRDefault="00000000">
            <w:pPr>
              <w:widowControl/>
              <w:jc w:val="left"/>
              <w:rPr>
                <w:rFonts w:ascii="仿宋" w:eastAsia="仿宋" w:hAnsi="仿宋" w:cs="仿宋" w:hint="eastAsia"/>
                <w:color w:val="333333"/>
                <w:sz w:val="31"/>
                <w:szCs w:val="31"/>
                <w:highlight w:val="yellow"/>
                <w:u w:val="single"/>
                <w:shd w:val="clear" w:color="auto" w:fill="FFFFFF"/>
              </w:rPr>
            </w:pPr>
            <w:r>
              <w:rPr>
                <w:rFonts w:ascii="宋体" w:eastAsia="宋体" w:hAnsi="宋体" w:cs="宋体" w:hint="eastAsia"/>
                <w:color w:val="000000"/>
                <w:kern w:val="0"/>
                <w:szCs w:val="21"/>
                <w:lang w:bidi="ar"/>
              </w:rPr>
              <w:t>供应商应结合本项目实际情况及特点，提供针对本项目的货物验收方案，方案应包括以下内容： ①货物验收操作流程（3分）； ②验收相关设备（3分）； ③验收技术服务人员（4分）； 缺项和未提供不得分。所提供的每小项方案中有缺陷(</w:t>
            </w:r>
            <w:r>
              <w:rPr>
                <w:rFonts w:ascii="宋体" w:eastAsia="宋体" w:hAnsi="宋体" w:cs="宋体" w:hint="eastAsia"/>
                <w:b/>
                <w:bCs/>
                <w:color w:val="000000"/>
                <w:kern w:val="0"/>
                <w:szCs w:val="21"/>
                <w:lang w:bidi="ar"/>
              </w:rPr>
              <w:t>内容存在缺陷或不足是指内容不满足项目要求或与项目无关的或与项目不匹配或项目名称、实施地点、涉及的规范、技术服务标准要求与本项目不一致或逻辑不通等情形</w:t>
            </w:r>
            <w:r>
              <w:rPr>
                <w:rFonts w:ascii="宋体" w:eastAsia="宋体" w:hAnsi="宋体" w:cs="宋体" w:hint="eastAsia"/>
                <w:color w:val="000000"/>
                <w:kern w:val="0"/>
                <w:szCs w:val="21"/>
                <w:lang w:bidi="ar"/>
              </w:rPr>
              <w:t>)则该小项得1分。</w:t>
            </w:r>
          </w:p>
        </w:tc>
        <w:tc>
          <w:tcPr>
            <w:tcW w:w="836" w:type="dxa"/>
            <w:vAlign w:val="center"/>
          </w:tcPr>
          <w:p w14:paraId="51F9FE7C" w14:textId="77777777" w:rsidR="00EE6555"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10.0分</w:t>
            </w:r>
          </w:p>
        </w:tc>
        <w:tc>
          <w:tcPr>
            <w:tcW w:w="1161" w:type="dxa"/>
            <w:vAlign w:val="center"/>
          </w:tcPr>
          <w:p w14:paraId="7E963B54" w14:textId="77777777" w:rsidR="00EE6555" w:rsidRDefault="00000000">
            <w:pPr>
              <w:widowControl/>
              <w:jc w:val="center"/>
              <w:rPr>
                <w:rFonts w:ascii="宋体" w:eastAsia="宋体" w:hAnsi="宋体" w:cs="宋体" w:hint="eastAsia"/>
                <w:color w:val="000000"/>
                <w:kern w:val="0"/>
                <w:szCs w:val="21"/>
                <w:lang w:bidi="ar"/>
              </w:rPr>
            </w:pPr>
            <w:r>
              <w:rPr>
                <w:rFonts w:ascii="宋体" w:eastAsia="宋体" w:hAnsi="宋体" w:cs="宋体" w:hint="eastAsia"/>
                <w:color w:val="000000"/>
                <w:kern w:val="0"/>
                <w:szCs w:val="21"/>
                <w:lang w:bidi="ar"/>
              </w:rPr>
              <w:t>主观</w:t>
            </w:r>
          </w:p>
        </w:tc>
      </w:tr>
      <w:tr w:rsidR="00EE6555" w14:paraId="4BD2E20D" w14:textId="77777777">
        <w:tc>
          <w:tcPr>
            <w:tcW w:w="771" w:type="dxa"/>
            <w:vMerge w:val="restart"/>
            <w:vAlign w:val="center"/>
          </w:tcPr>
          <w:p w14:paraId="38B521CC" w14:textId="77777777" w:rsidR="00EE6555" w:rsidRDefault="00000000">
            <w:pPr>
              <w:jc w:val="cente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商务部分</w:t>
            </w:r>
          </w:p>
        </w:tc>
        <w:tc>
          <w:tcPr>
            <w:tcW w:w="1181" w:type="dxa"/>
          </w:tcPr>
          <w:p w14:paraId="0DA66C53" w14:textId="77777777" w:rsidR="00EE6555" w:rsidRDefault="00000000">
            <w:pPr>
              <w:widowControl/>
              <w:jc w:val="left"/>
              <w:rPr>
                <w:rFonts w:ascii="宋体" w:eastAsia="宋体" w:hAnsi="宋体" w:cs="宋体" w:hint="eastAsia"/>
                <w:szCs w:val="21"/>
              </w:rPr>
            </w:pPr>
            <w:r>
              <w:rPr>
                <w:rFonts w:ascii="宋体" w:eastAsia="宋体" w:hAnsi="宋体" w:cs="宋体" w:hint="eastAsia"/>
                <w:color w:val="000000"/>
                <w:kern w:val="0"/>
                <w:szCs w:val="21"/>
                <w:lang w:bidi="ar"/>
              </w:rPr>
              <w:t>类似业绩</w:t>
            </w:r>
          </w:p>
          <w:p w14:paraId="1354004B" w14:textId="77777777" w:rsidR="00EE6555" w:rsidRDefault="00EE6555">
            <w:pPr>
              <w:rPr>
                <w:rFonts w:ascii="宋体" w:eastAsia="宋体" w:hAnsi="宋体" w:cs="宋体" w:hint="eastAsia"/>
                <w:color w:val="333333"/>
                <w:szCs w:val="21"/>
                <w:shd w:val="clear" w:color="auto" w:fill="FFFFFF"/>
              </w:rPr>
            </w:pPr>
          </w:p>
        </w:tc>
        <w:tc>
          <w:tcPr>
            <w:tcW w:w="4573" w:type="dxa"/>
          </w:tcPr>
          <w:p w14:paraId="39F70D4A" w14:textId="77777777" w:rsidR="00EE6555" w:rsidRDefault="00000000">
            <w:pPr>
              <w:widowControl/>
              <w:jc w:val="left"/>
              <w:rPr>
                <w:rFonts w:ascii="宋体" w:eastAsia="宋体" w:hAnsi="宋体" w:cs="宋体" w:hint="eastAsia"/>
                <w:color w:val="333333"/>
                <w:szCs w:val="21"/>
                <w:shd w:val="clear" w:color="auto" w:fill="FFFFFF"/>
              </w:rPr>
            </w:pPr>
            <w:r>
              <w:rPr>
                <w:rFonts w:ascii="宋体" w:eastAsia="宋体" w:hAnsi="宋体" w:cs="宋体" w:hint="eastAsia"/>
                <w:color w:val="000000"/>
                <w:kern w:val="0"/>
                <w:szCs w:val="21"/>
                <w:lang w:bidi="ar"/>
              </w:rPr>
              <w:t>供应商或生产厂家具有2022年至今类似业绩，每有1个得2.5分，满分5分，不提供不得分；注：以中标通知书或合同为准；合同金额、签章、日期签署必须清晰，不清晰不予评分。</w:t>
            </w:r>
          </w:p>
        </w:tc>
        <w:tc>
          <w:tcPr>
            <w:tcW w:w="836" w:type="dxa"/>
          </w:tcPr>
          <w:p w14:paraId="0BDB7421" w14:textId="77777777" w:rsidR="00EE6555" w:rsidRDefault="00000000">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5.0分</w:t>
            </w:r>
          </w:p>
        </w:tc>
        <w:tc>
          <w:tcPr>
            <w:tcW w:w="1161" w:type="dxa"/>
          </w:tcPr>
          <w:p w14:paraId="48BE51CF" w14:textId="77777777" w:rsidR="00EE6555" w:rsidRDefault="00000000">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客观</w:t>
            </w:r>
          </w:p>
        </w:tc>
      </w:tr>
      <w:tr w:rsidR="00EE6555" w14:paraId="1A7E12F9" w14:textId="77777777">
        <w:tc>
          <w:tcPr>
            <w:tcW w:w="771" w:type="dxa"/>
            <w:vMerge/>
          </w:tcPr>
          <w:p w14:paraId="4619DFFB" w14:textId="77777777" w:rsidR="00EE6555" w:rsidRDefault="00EE6555">
            <w:pPr>
              <w:rPr>
                <w:rFonts w:ascii="宋体" w:eastAsia="宋体" w:hAnsi="宋体" w:cs="宋体" w:hint="eastAsia"/>
                <w:color w:val="333333"/>
                <w:szCs w:val="21"/>
                <w:shd w:val="clear" w:color="auto" w:fill="FFFFFF"/>
              </w:rPr>
            </w:pPr>
          </w:p>
        </w:tc>
        <w:tc>
          <w:tcPr>
            <w:tcW w:w="1181" w:type="dxa"/>
          </w:tcPr>
          <w:p w14:paraId="5066CBD4" w14:textId="77777777" w:rsidR="00EE6555" w:rsidRDefault="00000000">
            <w:pPr>
              <w:widowControl/>
              <w:jc w:val="left"/>
              <w:rPr>
                <w:rFonts w:ascii="宋体" w:eastAsia="宋体" w:hAnsi="宋体" w:cs="宋体" w:hint="eastAsia"/>
                <w:color w:val="333333"/>
                <w:szCs w:val="21"/>
                <w:shd w:val="clear" w:color="auto" w:fill="FFFFFF"/>
              </w:rPr>
            </w:pPr>
            <w:r>
              <w:rPr>
                <w:rFonts w:ascii="宋体" w:eastAsia="宋体" w:hAnsi="宋体" w:cs="宋体" w:hint="eastAsia"/>
                <w:color w:val="000000"/>
                <w:kern w:val="0"/>
                <w:szCs w:val="21"/>
                <w:lang w:bidi="ar"/>
              </w:rPr>
              <w:t>售后服务方案</w:t>
            </w:r>
          </w:p>
        </w:tc>
        <w:tc>
          <w:tcPr>
            <w:tcW w:w="4573" w:type="dxa"/>
          </w:tcPr>
          <w:p w14:paraId="6FB1D9B9" w14:textId="77777777" w:rsidR="00EE6555" w:rsidRDefault="00000000">
            <w:pPr>
              <w:widowControl/>
              <w:rPr>
                <w:rFonts w:ascii="宋体" w:eastAsia="宋体" w:hAnsi="宋体" w:cs="宋体" w:hint="eastAsia"/>
                <w:szCs w:val="21"/>
              </w:rPr>
            </w:pPr>
            <w:r>
              <w:rPr>
                <w:rFonts w:ascii="宋体" w:eastAsia="宋体" w:hAnsi="宋体" w:cs="宋体" w:hint="eastAsia"/>
                <w:color w:val="000000"/>
                <w:kern w:val="0"/>
                <w:szCs w:val="21"/>
                <w:lang w:bidi="ar"/>
              </w:rPr>
              <w:t>根据供应商提供的售后服务方案进行评价，包括但不限于：1.售后保障措施；2.售后服务流程；3.维修响应时间承诺；4.质保期内售后服务方案；5.售后人员配备及服务联系方式；以上内容</w:t>
            </w:r>
            <w:r>
              <w:rPr>
                <w:rFonts w:ascii="宋体" w:eastAsia="宋体" w:hAnsi="宋体" w:cs="宋体" w:hint="eastAsia"/>
                <w:color w:val="000000"/>
                <w:kern w:val="0"/>
                <w:szCs w:val="21"/>
                <w:lang w:bidi="ar"/>
              </w:rPr>
              <w:lastRenderedPageBreak/>
              <w:t>须符合项目实际需求，内容完整，逻辑清晰。全部满足且优于的方案得10分。以上5项中每缺少1项扣2分，每项内容存在缺陷或不足扣1分，单项扣完为止。</w:t>
            </w:r>
          </w:p>
          <w:p w14:paraId="105968D6" w14:textId="77777777" w:rsidR="00EE6555" w:rsidRDefault="00000000">
            <w:pPr>
              <w:widowControl/>
              <w:rPr>
                <w:rFonts w:ascii="宋体" w:eastAsia="宋体" w:hAnsi="宋体" w:cs="宋体" w:hint="eastAsia"/>
                <w:color w:val="333333"/>
                <w:szCs w:val="21"/>
                <w:shd w:val="clear" w:color="auto" w:fill="FFFFFF"/>
              </w:rPr>
            </w:pPr>
            <w:r>
              <w:rPr>
                <w:rFonts w:ascii="宋体" w:eastAsia="宋体" w:hAnsi="宋体" w:cs="宋体" w:hint="eastAsia"/>
                <w:b/>
                <w:bCs/>
                <w:color w:val="000000"/>
                <w:kern w:val="0"/>
                <w:szCs w:val="21"/>
                <w:lang w:bidi="ar"/>
              </w:rPr>
              <w:t>注：内容存在缺陷或不足是指内容不满足项目要求或与项目无关的或与项目不匹配或项目名称、实施地点、涉及的规范、技术服务标准要求与本项目不一致或逻辑不通等情形。</w:t>
            </w:r>
          </w:p>
        </w:tc>
        <w:tc>
          <w:tcPr>
            <w:tcW w:w="836" w:type="dxa"/>
          </w:tcPr>
          <w:p w14:paraId="326ED80B" w14:textId="77777777" w:rsidR="00EE6555" w:rsidRDefault="00000000">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lastRenderedPageBreak/>
              <w:t>10.0分</w:t>
            </w:r>
          </w:p>
        </w:tc>
        <w:tc>
          <w:tcPr>
            <w:tcW w:w="1161" w:type="dxa"/>
          </w:tcPr>
          <w:p w14:paraId="0F9EB081" w14:textId="77777777" w:rsidR="00EE6555" w:rsidRDefault="00000000">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主观</w:t>
            </w:r>
          </w:p>
        </w:tc>
      </w:tr>
      <w:tr w:rsidR="00B83751" w14:paraId="48F2E7FD" w14:textId="77777777">
        <w:tc>
          <w:tcPr>
            <w:tcW w:w="771" w:type="dxa"/>
          </w:tcPr>
          <w:p w14:paraId="2F9B9FDC" w14:textId="2B5980C6" w:rsidR="00B83751" w:rsidRDefault="00B83751" w:rsidP="00B83751">
            <w:pPr>
              <w:rPr>
                <w:rFonts w:ascii="宋体" w:eastAsia="宋体" w:hAnsi="宋体" w:cs="宋体" w:hint="eastAsia"/>
                <w:color w:val="333333"/>
                <w:szCs w:val="21"/>
                <w:shd w:val="clear" w:color="auto" w:fill="FFFFFF"/>
              </w:rPr>
            </w:pPr>
            <w:r>
              <w:rPr>
                <w:rFonts w:ascii="宋体" w:eastAsia="宋体" w:hAnsi="宋体" w:cs="宋体"/>
                <w:color w:val="000000"/>
                <w:sz w:val="20"/>
              </w:rPr>
              <w:t>投标报价</w:t>
            </w:r>
          </w:p>
        </w:tc>
        <w:tc>
          <w:tcPr>
            <w:tcW w:w="1181" w:type="dxa"/>
          </w:tcPr>
          <w:p w14:paraId="00507CCA" w14:textId="23C75978" w:rsidR="00B83751" w:rsidRDefault="00B83751" w:rsidP="00B83751">
            <w:pPr>
              <w:widowControl/>
              <w:tabs>
                <w:tab w:val="left" w:pos="484"/>
              </w:tabs>
              <w:jc w:val="left"/>
              <w:rPr>
                <w:rFonts w:ascii="宋体" w:eastAsia="宋体" w:hAnsi="宋体" w:cs="宋体" w:hint="eastAsia"/>
                <w:color w:val="000000"/>
                <w:kern w:val="0"/>
                <w:szCs w:val="21"/>
                <w:lang w:bidi="ar"/>
              </w:rPr>
            </w:pPr>
            <w:r>
              <w:rPr>
                <w:rFonts w:ascii="宋体" w:eastAsia="宋体" w:hAnsi="宋体" w:cs="宋体"/>
                <w:color w:val="000000"/>
                <w:sz w:val="20"/>
              </w:rPr>
              <w:t>投标报价得分</w:t>
            </w:r>
          </w:p>
        </w:tc>
        <w:tc>
          <w:tcPr>
            <w:tcW w:w="4573" w:type="dxa"/>
          </w:tcPr>
          <w:p w14:paraId="2ACFF7E6" w14:textId="303D8322" w:rsidR="00B83751" w:rsidRDefault="00B83751" w:rsidP="00B83751">
            <w:pPr>
              <w:widowControl/>
              <w:rPr>
                <w:rFonts w:ascii="宋体" w:eastAsia="宋体" w:hAnsi="宋体" w:cs="宋体" w:hint="eastAsia"/>
                <w:color w:val="000000"/>
                <w:kern w:val="0"/>
                <w:szCs w:val="21"/>
                <w:lang w:bidi="ar"/>
              </w:rPr>
            </w:pPr>
            <w:r>
              <w:rPr>
                <w:rFonts w:ascii="宋体" w:eastAsia="宋体" w:hAnsi="宋体" w:cs="宋体"/>
                <w:color w:val="000000"/>
                <w:sz w:val="20"/>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w="836" w:type="dxa"/>
          </w:tcPr>
          <w:p w14:paraId="0765F3F9" w14:textId="44EB3EAE" w:rsidR="00B83751" w:rsidRDefault="00B83751" w:rsidP="00B83751">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50.0分</w:t>
            </w:r>
          </w:p>
        </w:tc>
        <w:tc>
          <w:tcPr>
            <w:tcW w:w="1161" w:type="dxa"/>
          </w:tcPr>
          <w:p w14:paraId="6D4D48E8" w14:textId="0FD0832A" w:rsidR="00B83751" w:rsidRDefault="00B83751" w:rsidP="00B83751">
            <w:pPr>
              <w:rPr>
                <w:rFonts w:ascii="宋体" w:eastAsia="宋体" w:hAnsi="宋体" w:cs="宋体" w:hint="eastAsia"/>
                <w:color w:val="333333"/>
                <w:szCs w:val="21"/>
                <w:shd w:val="clear" w:color="auto" w:fill="FFFFFF"/>
              </w:rPr>
            </w:pPr>
            <w:r>
              <w:rPr>
                <w:rFonts w:ascii="宋体" w:eastAsia="宋体" w:hAnsi="宋体" w:cs="宋体" w:hint="eastAsia"/>
                <w:color w:val="333333"/>
                <w:szCs w:val="21"/>
                <w:shd w:val="clear" w:color="auto" w:fill="FFFFFF"/>
              </w:rPr>
              <w:t>客观</w:t>
            </w:r>
          </w:p>
        </w:tc>
      </w:tr>
    </w:tbl>
    <w:p w14:paraId="32A86251" w14:textId="77777777" w:rsidR="00EE6555" w:rsidRDefault="00EE6555">
      <w:pPr>
        <w:rPr>
          <w:rFonts w:ascii="仿宋" w:eastAsia="仿宋" w:hAnsi="仿宋" w:cs="仿宋" w:hint="eastAsia"/>
          <w:color w:val="333333"/>
          <w:sz w:val="31"/>
          <w:szCs w:val="31"/>
          <w:highlight w:val="yellow"/>
          <w:u w:val="single"/>
          <w:shd w:val="clear" w:color="auto" w:fill="FFFFFF"/>
        </w:rPr>
      </w:pPr>
    </w:p>
    <w:sectPr w:rsidR="00EE65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3A671" w14:textId="77777777" w:rsidR="008B14D7" w:rsidRDefault="008B14D7" w:rsidP="00B83751">
      <w:r>
        <w:separator/>
      </w:r>
    </w:p>
  </w:endnote>
  <w:endnote w:type="continuationSeparator" w:id="0">
    <w:p w14:paraId="19F68BA1" w14:textId="77777777" w:rsidR="008B14D7" w:rsidRDefault="008B14D7" w:rsidP="00B83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4DAF1" w14:textId="77777777" w:rsidR="008B14D7" w:rsidRDefault="008B14D7" w:rsidP="00B83751">
      <w:r>
        <w:separator/>
      </w:r>
    </w:p>
  </w:footnote>
  <w:footnote w:type="continuationSeparator" w:id="0">
    <w:p w14:paraId="691DF43C" w14:textId="77777777" w:rsidR="008B14D7" w:rsidRDefault="008B14D7" w:rsidP="00B837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8046FEC"/>
    <w:rsid w:val="00382A33"/>
    <w:rsid w:val="008B14D7"/>
    <w:rsid w:val="00B83751"/>
    <w:rsid w:val="00EE6555"/>
    <w:rsid w:val="4804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1FB449"/>
  <w15:docId w15:val="{EEAFD8B1-9FB0-46FB-9955-4955D879B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83751"/>
    <w:pPr>
      <w:tabs>
        <w:tab w:val="center" w:pos="4153"/>
        <w:tab w:val="right" w:pos="8306"/>
      </w:tabs>
      <w:snapToGrid w:val="0"/>
      <w:jc w:val="center"/>
    </w:pPr>
    <w:rPr>
      <w:sz w:val="18"/>
      <w:szCs w:val="18"/>
    </w:rPr>
  </w:style>
  <w:style w:type="character" w:customStyle="1" w:styleId="a5">
    <w:name w:val="页眉 字符"/>
    <w:basedOn w:val="a0"/>
    <w:link w:val="a4"/>
    <w:rsid w:val="00B83751"/>
    <w:rPr>
      <w:rFonts w:asciiTheme="minorHAnsi" w:eastAsiaTheme="minorEastAsia" w:hAnsiTheme="minorHAnsi" w:cstheme="minorBidi"/>
      <w:kern w:val="2"/>
      <w:sz w:val="18"/>
      <w:szCs w:val="18"/>
    </w:rPr>
  </w:style>
  <w:style w:type="paragraph" w:styleId="a6">
    <w:name w:val="footer"/>
    <w:basedOn w:val="a"/>
    <w:link w:val="a7"/>
    <w:rsid w:val="00B83751"/>
    <w:pPr>
      <w:tabs>
        <w:tab w:val="center" w:pos="4153"/>
        <w:tab w:val="right" w:pos="8306"/>
      </w:tabs>
      <w:snapToGrid w:val="0"/>
      <w:jc w:val="left"/>
    </w:pPr>
    <w:rPr>
      <w:sz w:val="18"/>
      <w:szCs w:val="18"/>
    </w:rPr>
  </w:style>
  <w:style w:type="character" w:customStyle="1" w:styleId="a7">
    <w:name w:val="页脚 字符"/>
    <w:basedOn w:val="a0"/>
    <w:link w:val="a6"/>
    <w:rsid w:val="00B83751"/>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w w</cp:lastModifiedBy>
  <cp:revision>2</cp:revision>
  <dcterms:created xsi:type="dcterms:W3CDTF">2025-06-17T12:08:00Z</dcterms:created>
  <dcterms:modified xsi:type="dcterms:W3CDTF">2025-06-23T08:58:00Z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BE1A7A3933D142819043D3475B78FEB5_11</vt:lpwstr>
  </property>
  <property fmtid="{D5CDD505-2E9C-101B-9397-08002B2CF9AE}" pid="4" name="KSOTemplateDocerSaveRecord">
    <vt:lpwstr>eyJoZGlkIjoiMjdjMWQ4NmU2MmQwZTFjNDU4M2Y3Zjk4ZjU5ZmMwOTMiLCJ1c2VySWQiOiIyNzU1NTM2ODcifQ==</vt:lpwstr>
  </property>
</Properties>
</file>