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Style w:val="style105"/>
        <w:tblW w:w="1020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0" w:type="dxa"/>
          <w:left w:w="0" w:type="dxa"/>
          <w:bottom w:w="0" w:type="dxa"/>
          <w:right w:w="0" w:type="dxa"/>
        </w:tblCellMar>
      </w:tblPr>
      <w:tblGrid>
        <w:gridCol w:w="1280"/>
        <w:gridCol w:w="2320"/>
        <w:gridCol w:w="3980"/>
        <w:gridCol w:w="1260"/>
        <w:gridCol w:w="1360"/>
      </w:tblGrid>
      <w:tr w14:paraId="2F42D3A4">
        <w:trPr>
          <w:trHeight w:val="280" w:hRule="atLeast"/>
          <w:jc w:val="center"/>
        </w:trPr>
        <w:tc>
          <w:tcPr>
            <w:tcW w:w="3600" w:type="dxa"/>
            <w:gridSpan w:val="2"/>
            <w:tcBorders/>
            <w:vAlign w:val="center"/>
          </w:tcPr>
          <w:p w14:paraId="6F14CCAD">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评审因素</w:t>
            </w:r>
          </w:p>
        </w:tc>
        <w:tc>
          <w:tcPr>
            <w:tcW w:w="6600" w:type="dxa"/>
            <w:gridSpan w:val="3"/>
            <w:tcBorders/>
            <w:vAlign w:val="center"/>
          </w:tcPr>
          <w:p w14:paraId="1DAB5B3C">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评审标准</w:t>
            </w:r>
          </w:p>
        </w:tc>
      </w:tr>
      <w:tr w14:paraId="7C4DEC52">
        <w:tblPrEx/>
        <w:trPr>
          <w:trHeight w:val="913" w:hRule="atLeast"/>
          <w:jc w:val="center"/>
        </w:trPr>
        <w:tc>
          <w:tcPr>
            <w:tcW w:w="3600" w:type="dxa"/>
            <w:gridSpan w:val="2"/>
            <w:tcBorders/>
            <w:vAlign w:val="center"/>
          </w:tcPr>
          <w:p w14:paraId="3228B953">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分值构成</w:t>
            </w:r>
          </w:p>
        </w:tc>
        <w:tc>
          <w:tcPr>
            <w:tcW w:w="6600" w:type="dxa"/>
            <w:gridSpan w:val="3"/>
            <w:tcBorders/>
            <w:vAlign w:val="center"/>
          </w:tcPr>
          <w:p w14:paraId="483B9AD5">
            <w:pPr>
              <w:pStyle w:val="style0"/>
              <w:pageBreakBefore w:val="false"/>
              <w:wordWrap w:val="false"/>
              <w:spacing w:before="0" w:after="0" w:lineRule="atLeast" w:line="260"/>
              <w:ind w:left="20" w:right="0"/>
              <w:jc w:val="both"/>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技术部分</w:t>
            </w:r>
            <w:r>
              <w:rPr>
                <w:rFonts w:ascii="仿宋_GB2312" w:cs="仿宋_GB2312" w:eastAsia="仿宋_GB2312" w:hAnsi="仿宋_GB2312" w:hint="eastAsia"/>
                <w:b w:val="false"/>
                <w:bCs/>
                <w:i w:val="false"/>
                <w:color w:val="000000"/>
                <w:spacing w:val="0"/>
                <w:sz w:val="24"/>
                <w:szCs w:val="24"/>
                <w:lang w:val="en-US" w:eastAsia="zh-CN"/>
              </w:rPr>
              <w:t>29</w:t>
            </w:r>
            <w:r>
              <w:rPr>
                <w:rFonts w:ascii="仿宋_GB2312" w:cs="仿宋_GB2312" w:eastAsia="仿宋_GB2312" w:hAnsi="仿宋_GB2312" w:hint="eastAsia"/>
                <w:b w:val="false"/>
                <w:bCs/>
                <w:i w:val="false"/>
                <w:color w:val="000000"/>
                <w:spacing w:val="0"/>
                <w:sz w:val="24"/>
                <w:szCs w:val="24"/>
              </w:rPr>
              <w:t>.00分</w:t>
            </w:r>
          </w:p>
          <w:p w14:paraId="5DAC5C38">
            <w:pPr>
              <w:pStyle w:val="style0"/>
              <w:pageBreakBefore w:val="false"/>
              <w:wordWrap w:val="false"/>
              <w:spacing w:before="0" w:after="0" w:lineRule="atLeast" w:line="260"/>
              <w:ind w:left="20" w:right="0"/>
              <w:jc w:val="both"/>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商务部分2</w:t>
            </w:r>
            <w:r>
              <w:rPr>
                <w:rFonts w:ascii="仿宋_GB2312" w:cs="仿宋_GB2312" w:eastAsia="仿宋_GB2312" w:hAnsi="仿宋_GB2312" w:hint="eastAsia"/>
                <w:b w:val="false"/>
                <w:bCs/>
                <w:i w:val="false"/>
                <w:color w:val="000000"/>
                <w:spacing w:val="0"/>
                <w:sz w:val="24"/>
                <w:szCs w:val="24"/>
                <w:lang w:val="en-US" w:eastAsia="zh-CN"/>
              </w:rPr>
              <w:t>1</w:t>
            </w:r>
            <w:r>
              <w:rPr>
                <w:rFonts w:ascii="仿宋_GB2312" w:cs="仿宋_GB2312" w:eastAsia="仿宋_GB2312" w:hAnsi="仿宋_GB2312" w:hint="eastAsia"/>
                <w:b w:val="false"/>
                <w:bCs/>
                <w:i w:val="false"/>
                <w:color w:val="000000"/>
                <w:spacing w:val="0"/>
                <w:sz w:val="24"/>
                <w:szCs w:val="24"/>
              </w:rPr>
              <w:t>.00分</w:t>
            </w:r>
          </w:p>
          <w:p w14:paraId="00F60963">
            <w:pPr>
              <w:pStyle w:val="style0"/>
              <w:pageBreakBefore w:val="false"/>
              <w:wordWrap w:val="false"/>
              <w:spacing w:before="0" w:after="0" w:lineRule="atLeast" w:line="260"/>
              <w:ind w:left="20" w:right="0"/>
              <w:jc w:val="both"/>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报价得分50.00分</w:t>
            </w:r>
          </w:p>
        </w:tc>
      </w:tr>
      <w:tr w14:paraId="00996BEC">
        <w:tblPrEx/>
        <w:trPr>
          <w:trHeight w:val="620" w:hRule="atLeast"/>
          <w:jc w:val="center"/>
        </w:trPr>
        <w:tc>
          <w:tcPr>
            <w:tcW w:w="1280" w:type="dxa"/>
            <w:tcBorders/>
            <w:vAlign w:val="center"/>
          </w:tcPr>
          <w:p w14:paraId="1C781A8F">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评审因素分类</w:t>
            </w:r>
          </w:p>
        </w:tc>
        <w:tc>
          <w:tcPr>
            <w:tcW w:w="2320" w:type="dxa"/>
            <w:tcBorders/>
            <w:vAlign w:val="center"/>
          </w:tcPr>
          <w:p w14:paraId="39451862">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评审项</w:t>
            </w:r>
          </w:p>
        </w:tc>
        <w:tc>
          <w:tcPr>
            <w:tcW w:w="3980" w:type="dxa"/>
            <w:tcBorders/>
            <w:vAlign w:val="center"/>
          </w:tcPr>
          <w:p w14:paraId="3E54E0AF">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详细描述</w:t>
            </w:r>
          </w:p>
        </w:tc>
        <w:tc>
          <w:tcPr>
            <w:tcW w:w="1260" w:type="dxa"/>
            <w:tcBorders/>
            <w:vAlign w:val="center"/>
          </w:tcPr>
          <w:p w14:paraId="757199BB">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分值</w:t>
            </w:r>
          </w:p>
        </w:tc>
        <w:tc>
          <w:tcPr>
            <w:tcW w:w="1360" w:type="dxa"/>
            <w:tcBorders/>
            <w:vAlign w:val="center"/>
          </w:tcPr>
          <w:p w14:paraId="0E1733B5">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客观/主观</w:t>
            </w:r>
          </w:p>
        </w:tc>
      </w:tr>
      <w:tr w14:paraId="0D973BAF">
        <w:tblPrEx/>
        <w:trPr>
          <w:trHeight w:val="11653" w:hRule="atLeast"/>
          <w:jc w:val="center"/>
        </w:trPr>
        <w:tc>
          <w:tcPr>
            <w:tcW w:w="1280" w:type="dxa"/>
            <w:vMerge w:val="restart"/>
            <w:tcBorders/>
            <w:vAlign w:val="center"/>
          </w:tcPr>
          <w:p w14:paraId="75A0065F">
            <w:pPr>
              <w:pStyle w:val="style0"/>
              <w:keepNext w:val="false"/>
              <w:keepLines w:val="false"/>
              <w:pageBreakBefore w:val="false"/>
              <w:widowControl w:val="false"/>
              <w:kinsoku/>
              <w:wordWrap w:val="false"/>
              <w:overflowPunct/>
              <w:topLinePunct w:val="false"/>
              <w:autoSpaceDE/>
              <w:autoSpaceDN/>
              <w:bidi w:val="false"/>
              <w:adjustRightInd/>
              <w:snapToGrid/>
              <w:spacing w:before="0" w:after="0" w:lineRule="atLeast" w:line="240"/>
              <w:ind w:left="0" w:right="0"/>
              <w:jc w:val="center"/>
              <w:textAlignment w:val="baseline"/>
              <w:rPr>
                <w:rFonts w:ascii="仿宋_GB2312" w:cs="仿宋_GB2312" w:eastAsia="仿宋_GB2312" w:hAnsi="仿宋_GB2312" w:hint="default"/>
                <w:b w:val="false"/>
                <w:bCs/>
                <w:sz w:val="24"/>
                <w:szCs w:val="24"/>
                <w:lang w:val="en-US" w:eastAsia="zh-CN"/>
              </w:rPr>
            </w:pPr>
            <w:r>
              <w:rPr>
                <w:rFonts w:ascii="仿宋_GB2312" w:cs="仿宋_GB2312" w:eastAsia="仿宋_GB2312" w:hAnsi="仿宋_GB2312" w:hint="eastAsia"/>
                <w:b w:val="false"/>
                <w:bCs/>
                <w:sz w:val="24"/>
                <w:szCs w:val="24"/>
                <w:lang w:val="en-US" w:eastAsia="zh-CN"/>
              </w:rPr>
              <w:t>技术评审</w:t>
            </w:r>
          </w:p>
        </w:tc>
        <w:tc>
          <w:tcPr>
            <w:tcW w:w="2320" w:type="dxa"/>
            <w:tcBorders/>
            <w:vAlign w:val="center"/>
          </w:tcPr>
          <w:p w14:paraId="17EBCDBA">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目标策划及</w:t>
            </w:r>
          </w:p>
          <w:p w14:paraId="19C943A7">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服务方案</w:t>
            </w:r>
          </w:p>
        </w:tc>
        <w:tc>
          <w:tcPr>
            <w:tcW w:w="3980" w:type="dxa"/>
            <w:tcBorders/>
            <w:vAlign w:val="center"/>
          </w:tcPr>
          <w:p w14:paraId="55E7FD6D">
            <w:pPr>
              <w:pStyle w:val="style0"/>
              <w:pageBreakBefore w:val="false"/>
              <w:wordWrap w:val="false"/>
              <w:spacing w:before="0" w:after="0" w:lineRule="atLeast" w:line="240"/>
              <w:ind w:left="0" w:right="0"/>
              <w:jc w:val="both"/>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供应商结合本项目实质性要求提交的目标策划方案应将：①管理服务方案：②管理服务模式：③管理服务理念。以上3项内容在目标策划方案中体现。符合本项目实际情况，能够保障目标策划方案与本项目内容相符，前后一致的得</w:t>
            </w:r>
            <w:r>
              <w:rPr>
                <w:rFonts w:ascii="仿宋_GB2312" w:cs="仿宋_GB2312" w:eastAsia="仿宋_GB2312" w:hAnsi="仿宋_GB2312" w:hint="eastAsia"/>
                <w:b w:val="false"/>
                <w:bCs/>
                <w:i w:val="false"/>
                <w:color w:val="000000"/>
                <w:spacing w:val="0"/>
                <w:sz w:val="24"/>
                <w:szCs w:val="24"/>
                <w:lang w:val="en-US" w:eastAsia="zh-CN"/>
              </w:rPr>
              <w:t>6</w:t>
            </w:r>
            <w:r>
              <w:rPr>
                <w:rFonts w:ascii="仿宋_GB2312" w:cs="仿宋_GB2312" w:eastAsia="仿宋_GB2312" w:hAnsi="仿宋_GB2312" w:hint="eastAsia"/>
                <w:b w:val="false"/>
                <w:bCs/>
                <w:i w:val="false"/>
                <w:color w:val="000000"/>
                <w:spacing w:val="0"/>
                <w:sz w:val="24"/>
                <w:szCs w:val="24"/>
              </w:rPr>
              <w:t>分，缺少一项内容扣</w:t>
            </w:r>
            <w:r>
              <w:rPr>
                <w:rFonts w:ascii="仿宋_GB2312" w:cs="仿宋_GB2312" w:eastAsia="仿宋_GB2312" w:hAnsi="仿宋_GB2312" w:hint="eastAsia"/>
                <w:b w:val="false"/>
                <w:bCs/>
                <w:i w:val="false"/>
                <w:color w:val="000000"/>
                <w:spacing w:val="0"/>
                <w:sz w:val="24"/>
                <w:szCs w:val="24"/>
                <w:lang w:val="en-US" w:eastAsia="zh-CN"/>
              </w:rPr>
              <w:t>2</w:t>
            </w:r>
            <w:r>
              <w:rPr>
                <w:rFonts w:ascii="仿宋_GB2312" w:cs="仿宋_GB2312" w:eastAsia="仿宋_GB2312" w:hAnsi="仿宋_GB2312" w:hint="eastAsia"/>
                <w:b w:val="false"/>
                <w:bCs/>
                <w:i w:val="false"/>
                <w:color w:val="000000"/>
                <w:spacing w:val="0"/>
                <w:sz w:val="24"/>
                <w:szCs w:val="24"/>
              </w:rPr>
              <w:t>分，每项内容存在缺陷扣1分。不提供不得分。注：内容缺陷是指：目标策划方案与本项目需求不符：内容前后不一致；逻辑错误；内容不完整或缺少关键节点、套用其他项目内容，以上有任意一项出现即视为缺陷。</w:t>
            </w:r>
          </w:p>
          <w:p w14:paraId="5D66448E">
            <w:pPr>
              <w:pStyle w:val="style0"/>
              <w:pageBreakBefore w:val="false"/>
              <w:wordWrap w:val="false"/>
              <w:spacing w:before="0" w:after="0" w:lineRule="atLeast" w:line="240"/>
              <w:ind w:left="0" w:right="0"/>
              <w:jc w:val="both"/>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供应商结合本项目实质性要求提交的服务方案应将：①日常管理方案：②环境卫生服务方案：③服务人员配备方案：④服务人员管理方案：⑤工作时间安排方案：⑥设备、耗材、工具配备方案。以上6项内容在服务方案中体现。符合本项目实际情况，能够保障服务方案与本项目内容相符，前后一致的得6分，缺少一项内容扣1分，每项内容存在缺陷扣0.5分。不提供不得分。注：内容缺陷是指：服务方案与本项目需求不符；内容前后不一致；逻辑错误；内容不完整或缺少关键节点、套用其他项目内容，以上有任意一项出现即视为缺陷。</w:t>
            </w:r>
          </w:p>
        </w:tc>
        <w:tc>
          <w:tcPr>
            <w:tcW w:w="1260" w:type="dxa"/>
            <w:tcBorders/>
            <w:vAlign w:val="center"/>
          </w:tcPr>
          <w:p w14:paraId="3742898D">
            <w:pPr>
              <w:pStyle w:val="style0"/>
              <w:pageBreakBefore w:val="false"/>
              <w:wordWrap/>
              <w:spacing w:before="0" w:after="0" w:lineRule="atLeast" w:line="240"/>
              <w:ind w:left="0" w:right="0"/>
              <w:jc w:val="center"/>
              <w:textAlignment w:val="baseline"/>
              <w:rPr>
                <w:rFonts w:ascii="仿宋_GB2312" w:cs="仿宋_GB2312" w:eastAsia="仿宋_GB2312" w:hAnsi="仿宋_GB2312" w:hint="default"/>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12.00</w:t>
            </w:r>
          </w:p>
        </w:tc>
        <w:tc>
          <w:tcPr>
            <w:tcW w:w="1360" w:type="dxa"/>
            <w:tcBorders/>
            <w:vAlign w:val="center"/>
          </w:tcPr>
          <w:p w14:paraId="5831ED56">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主观</w:t>
            </w:r>
          </w:p>
          <w:p w14:paraId="4C6901BD">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p>
        </w:tc>
      </w:tr>
      <w:tr w14:paraId="5BD5123A">
        <w:tblPrEx/>
        <w:trPr>
          <w:trHeight w:val="3820" w:hRule="atLeast"/>
          <w:jc w:val="center"/>
        </w:trPr>
        <w:tc>
          <w:tcPr>
            <w:tcW w:w="1280" w:type="dxa"/>
            <w:vMerge w:val="continue"/>
            <w:tcBorders/>
            <w:vAlign w:val="center"/>
          </w:tcPr>
          <w:p w14:paraId="7651780B">
            <w:pPr>
              <w:pStyle w:val="style0"/>
              <w:pageBreakBefore w:val="false"/>
              <w:wordWrap w:val="false"/>
              <w:spacing w:before="0" w:after="0" w:lineRule="exact" w:line="200"/>
              <w:ind w:left="0" w:right="0"/>
              <w:jc w:val="center"/>
              <w:textAlignment w:val="baseline"/>
              <w:rPr>
                <w:rFonts w:ascii="仿宋_GB2312" w:cs="仿宋_GB2312" w:eastAsia="仿宋_GB2312" w:hAnsi="仿宋_GB2312" w:hint="eastAsia"/>
                <w:b w:val="false"/>
                <w:bCs/>
                <w:i w:val="false"/>
                <w:color w:val="000000"/>
                <w:spacing w:val="0"/>
                <w:sz w:val="24"/>
                <w:szCs w:val="24"/>
              </w:rPr>
            </w:pPr>
          </w:p>
        </w:tc>
        <w:tc>
          <w:tcPr>
            <w:tcW w:w="2320" w:type="dxa"/>
            <w:tcBorders/>
            <w:vAlign w:val="center"/>
          </w:tcPr>
          <w:p w14:paraId="1DB6AD07">
            <w:pPr>
              <w:pStyle w:val="style0"/>
              <w:keepNext w:val="false"/>
              <w:keepLines w:val="false"/>
              <w:pageBreakBefore w:val="false"/>
              <w:widowControl w:val="false"/>
              <w:kinsoku/>
              <w:wordWrap w:val="false"/>
              <w:overflowPunct/>
              <w:topLinePunct w:val="false"/>
              <w:autoSpaceDE/>
              <w:autoSpaceDN/>
              <w:bidi w:val="false"/>
              <w:adjustRightInd/>
              <w:snapToGrid/>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应急预案</w:t>
            </w:r>
          </w:p>
        </w:tc>
        <w:tc>
          <w:tcPr>
            <w:tcW w:w="3980" w:type="dxa"/>
            <w:tcBorders/>
            <w:vAlign w:val="center"/>
          </w:tcPr>
          <w:p w14:paraId="2EA7131E">
            <w:pPr>
              <w:pStyle w:val="style0"/>
              <w:pageBreakBefore w:val="false"/>
              <w:wordWrap w:val="false"/>
              <w:spacing w:before="0" w:after="0" w:lineRule="atLeast" w:line="240"/>
              <w:ind w:left="0" w:right="0"/>
              <w:jc w:val="both"/>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供应商结合本项目实质性要求提交的应急预案应将：①物业服务应急预案及处置措施：②内、外保洁服务应急预案：③火灾/自然灾害应急预案：④安全冲突事件应急预案：⑤生活垃圾运送应急预案。以上5项内容在应急预案中体现。符合本项目实际情况，能够保障应急预案与本项目内容相符，前后一致的得</w:t>
            </w:r>
            <w:r>
              <w:rPr>
                <w:rFonts w:ascii="仿宋_GB2312" w:cs="仿宋_GB2312" w:eastAsia="仿宋_GB2312" w:hAnsi="仿宋_GB2312" w:hint="default"/>
                <w:b w:val="false"/>
                <w:bCs/>
                <w:i w:val="false"/>
                <w:color w:val="000000"/>
                <w:spacing w:val="0"/>
                <w:sz w:val="24"/>
                <w:szCs w:val="24"/>
                <w:lang w:val="en-US"/>
              </w:rPr>
              <w:t>4</w:t>
            </w:r>
            <w:r>
              <w:rPr>
                <w:rFonts w:ascii="仿宋_GB2312" w:cs="仿宋_GB2312" w:eastAsia="仿宋_GB2312" w:hAnsi="仿宋_GB2312" w:hint="eastAsia"/>
                <w:b w:val="false"/>
                <w:bCs/>
                <w:i w:val="false"/>
                <w:color w:val="000000"/>
                <w:spacing w:val="0"/>
                <w:sz w:val="24"/>
                <w:szCs w:val="24"/>
              </w:rPr>
              <w:t>分，缺少一项内容扣1分，每项内容存在缺陷扣0.5分。不提供不得分。注：内容缺陷是指：应急预案与本项目需求不符；内容前后不一致；逻辑错误；内容不完整或缺少关键节点、套用其他项目内容，以上有任意一项出现即视为缺陷。</w:t>
            </w:r>
          </w:p>
        </w:tc>
        <w:tc>
          <w:tcPr>
            <w:tcW w:w="1260" w:type="dxa"/>
            <w:tcBorders/>
            <w:vAlign w:val="center"/>
          </w:tcPr>
          <w:p w14:paraId="3F991CE1">
            <w:pPr>
              <w:pStyle w:val="style0"/>
              <w:pageBreakBefore w:val="false"/>
              <w:wordWrap/>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4.00</w:t>
            </w:r>
          </w:p>
        </w:tc>
        <w:tc>
          <w:tcPr>
            <w:tcW w:w="1360" w:type="dxa"/>
            <w:tcBorders/>
            <w:vAlign w:val="center"/>
          </w:tcPr>
          <w:p w14:paraId="3DA7E764">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主观</w:t>
            </w:r>
          </w:p>
        </w:tc>
      </w:tr>
      <w:tr w14:paraId="6F29A058">
        <w:tblPrEx/>
        <w:trPr>
          <w:trHeight w:val="4513" w:hRule="atLeast"/>
          <w:jc w:val="center"/>
        </w:trPr>
        <w:tc>
          <w:tcPr>
            <w:tcW w:w="1280" w:type="dxa"/>
            <w:vMerge w:val="restart"/>
            <w:tcBorders/>
            <w:vAlign w:val="center"/>
          </w:tcPr>
          <w:p w14:paraId="626D01E5">
            <w:pPr>
              <w:pStyle w:val="style0"/>
              <w:keepNext w:val="false"/>
              <w:keepLines w:val="false"/>
              <w:pageBreakBefore w:val="false"/>
              <w:widowControl w:val="false"/>
              <w:kinsoku/>
              <w:wordWrap w:val="false"/>
              <w:overflowPunct/>
              <w:topLinePunct w:val="false"/>
              <w:autoSpaceDE/>
              <w:autoSpaceDN/>
              <w:bidi w:val="false"/>
              <w:adjustRightInd/>
              <w:snapToGrid/>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技术评审</w:t>
            </w:r>
          </w:p>
        </w:tc>
        <w:tc>
          <w:tcPr>
            <w:tcW w:w="2320" w:type="dxa"/>
            <w:tcBorders/>
            <w:vAlign w:val="center"/>
          </w:tcPr>
          <w:p w14:paraId="463BC137">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人员稳定性方案</w:t>
            </w:r>
          </w:p>
        </w:tc>
        <w:tc>
          <w:tcPr>
            <w:tcW w:w="3980" w:type="dxa"/>
            <w:tcBorders/>
            <w:vAlign w:val="center"/>
          </w:tcPr>
          <w:p w14:paraId="37DB2483">
            <w:pPr>
              <w:pStyle w:val="style0"/>
              <w:pageBreakBefore w:val="false"/>
              <w:wordWrap w:val="false"/>
              <w:spacing w:before="0" w:after="0" w:lineRule="atLeast" w:line="240"/>
              <w:ind w:left="0" w:right="0"/>
              <w:jc w:val="both"/>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供应商结合本项目实质性要求提交的人员稳定性方案应将：①人员管理机制；②严格检查制度；③严格考核制度。以上3项内容在人员稳定性方案中体现。符合本项目实际情况，能够保障人员稳定性方案与本项目内容相符，前后一致的得</w:t>
            </w:r>
            <w:r>
              <w:rPr>
                <w:rFonts w:ascii="仿宋_GB2312" w:cs="仿宋_GB2312" w:eastAsia="仿宋_GB2312" w:hAnsi="仿宋_GB2312" w:hint="default"/>
                <w:b w:val="false"/>
                <w:bCs/>
                <w:i w:val="false"/>
                <w:color w:val="000000"/>
                <w:spacing w:val="0"/>
                <w:sz w:val="24"/>
                <w:szCs w:val="24"/>
                <w:lang w:val="en-US"/>
              </w:rPr>
              <w:t>2</w:t>
            </w:r>
            <w:r>
              <w:rPr>
                <w:rFonts w:ascii="仿宋_GB2312" w:cs="仿宋_GB2312" w:eastAsia="仿宋_GB2312" w:hAnsi="仿宋_GB2312" w:hint="eastAsia"/>
                <w:b w:val="false"/>
                <w:bCs/>
                <w:i w:val="false"/>
                <w:color w:val="000000"/>
                <w:spacing w:val="0"/>
                <w:sz w:val="24"/>
                <w:szCs w:val="24"/>
              </w:rPr>
              <w:t>分，缺少一项内容扣1分，每项内容存在缺陷扣0.5分。不提供不得分。注：内容缺陷是指：人员稳定性方案与本项目需求不符；内容前后不一致：逻辑错误：内容不完整或缺少关键节点、套用其他项目内容，以上有任意一项出现即视为缺陷。</w:t>
            </w:r>
          </w:p>
        </w:tc>
        <w:tc>
          <w:tcPr>
            <w:tcW w:w="1260" w:type="dxa"/>
            <w:tcBorders/>
            <w:vAlign w:val="center"/>
          </w:tcPr>
          <w:p w14:paraId="70EC371B">
            <w:pPr>
              <w:pStyle w:val="style0"/>
              <w:pageBreakBefore w:val="false"/>
              <w:wordWrap/>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2</w:t>
            </w:r>
            <w:r>
              <w:rPr>
                <w:rFonts w:ascii="仿宋_GB2312" w:cs="仿宋_GB2312" w:eastAsia="仿宋_GB2312" w:hAnsi="仿宋_GB2312" w:hint="eastAsia"/>
                <w:b w:val="false"/>
                <w:bCs/>
                <w:i w:val="false"/>
                <w:color w:val="000000"/>
                <w:spacing w:val="0"/>
                <w:sz w:val="24"/>
                <w:szCs w:val="24"/>
              </w:rPr>
              <w:t>.00</w:t>
            </w:r>
          </w:p>
        </w:tc>
        <w:tc>
          <w:tcPr>
            <w:tcW w:w="1360" w:type="dxa"/>
            <w:tcBorders/>
            <w:vAlign w:val="center"/>
          </w:tcPr>
          <w:p w14:paraId="5FBE02DB">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主观</w:t>
            </w:r>
          </w:p>
        </w:tc>
      </w:tr>
      <w:tr w14:paraId="7256FA1E">
        <w:tblPrEx/>
        <w:trPr>
          <w:trHeight w:val="3820" w:hRule="atLeast"/>
          <w:jc w:val="center"/>
        </w:trPr>
        <w:tc>
          <w:tcPr>
            <w:tcW w:w="1280" w:type="dxa"/>
            <w:vMerge w:val="continue"/>
            <w:tcBorders/>
            <w:vAlign w:val="center"/>
          </w:tcPr>
          <w:p w14:paraId="15ED825A">
            <w:pPr>
              <w:pStyle w:val="style0"/>
              <w:pageBreakBefore w:val="false"/>
              <w:wordWrap w:val="false"/>
              <w:spacing w:before="0" w:after="0" w:lineRule="exact" w:line="200"/>
              <w:ind w:left="0" w:right="0"/>
              <w:jc w:val="center"/>
              <w:textAlignment w:val="baseline"/>
              <w:rPr>
                <w:rFonts w:ascii="仿宋_GB2312" w:cs="仿宋_GB2312" w:eastAsia="仿宋_GB2312" w:hAnsi="仿宋_GB2312" w:hint="eastAsia"/>
                <w:b w:val="false"/>
                <w:bCs/>
                <w:i w:val="false"/>
                <w:color w:val="000000"/>
                <w:spacing w:val="0"/>
                <w:sz w:val="24"/>
                <w:szCs w:val="24"/>
              </w:rPr>
            </w:pPr>
          </w:p>
        </w:tc>
        <w:tc>
          <w:tcPr>
            <w:tcW w:w="2320" w:type="dxa"/>
            <w:tcBorders/>
            <w:vAlign w:val="center"/>
          </w:tcPr>
          <w:p w14:paraId="6CB48E9B">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人员培训方案</w:t>
            </w:r>
          </w:p>
        </w:tc>
        <w:tc>
          <w:tcPr>
            <w:tcW w:w="3980" w:type="dxa"/>
            <w:tcBorders/>
            <w:vAlign w:val="center"/>
          </w:tcPr>
          <w:p w14:paraId="2E07F049">
            <w:pPr>
              <w:pStyle w:val="style0"/>
              <w:pageBreakBefore w:val="false"/>
              <w:wordWrap w:val="false"/>
              <w:spacing w:before="0" w:after="0" w:lineRule="atLeast" w:line="240"/>
              <w:ind w:left="0" w:right="0"/>
              <w:jc w:val="both"/>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供应商结合本项目实质性要求提交的人员培训方案应将：①培训方向：②培训方式：③培训内容。以上3项内容在人员培训方案中体现符合本项目实际情况，能够保障人员培训方案与本项目内容相符，前后一致的得3分，缺少一项内容扣1分，每项内容存在缺陷扣0.5分。不提供不得分。注：内容缺陷是指：人员培训方案与本项目需求不符；内容前后不一致；逻辑错误；内容不完整或缺少关键节点、套用其他项目内容，以上有任意一项出现即视为缺陷。</w:t>
            </w:r>
          </w:p>
        </w:tc>
        <w:tc>
          <w:tcPr>
            <w:tcW w:w="1260" w:type="dxa"/>
            <w:tcBorders/>
            <w:vAlign w:val="center"/>
          </w:tcPr>
          <w:p w14:paraId="771B415A">
            <w:pPr>
              <w:pStyle w:val="style0"/>
              <w:pageBreakBefore w:val="false"/>
              <w:wordWrap/>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lang w:val="en-US" w:eastAsia="zh-CN"/>
              </w:rPr>
              <w:t>3</w:t>
            </w:r>
            <w:r>
              <w:rPr>
                <w:rFonts w:ascii="仿宋_GB2312" w:cs="仿宋_GB2312" w:eastAsia="仿宋_GB2312" w:hAnsi="仿宋_GB2312" w:hint="eastAsia"/>
                <w:b w:val="false"/>
                <w:bCs/>
                <w:i w:val="false"/>
                <w:color w:val="000000"/>
                <w:spacing w:val="0"/>
                <w:sz w:val="24"/>
                <w:szCs w:val="24"/>
              </w:rPr>
              <w:t>.00</w:t>
            </w:r>
          </w:p>
        </w:tc>
        <w:tc>
          <w:tcPr>
            <w:tcW w:w="1360" w:type="dxa"/>
            <w:tcBorders/>
            <w:vAlign w:val="center"/>
          </w:tcPr>
          <w:p w14:paraId="572108B1">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主观</w:t>
            </w:r>
          </w:p>
        </w:tc>
      </w:tr>
      <w:tr w14:paraId="15DA2EC3">
        <w:tblPrEx/>
        <w:trPr>
          <w:trHeight w:val="3820" w:hRule="atLeast"/>
          <w:jc w:val="center"/>
        </w:trPr>
        <w:tc>
          <w:tcPr>
            <w:tcW w:w="1280" w:type="dxa"/>
            <w:vMerge w:val="continue"/>
            <w:tcBorders/>
            <w:vAlign w:val="center"/>
          </w:tcPr>
          <w:p w14:paraId="296076F0">
            <w:pPr>
              <w:pStyle w:val="style0"/>
              <w:pageBreakBefore w:val="false"/>
              <w:wordWrap w:val="false"/>
              <w:spacing w:before="0" w:after="0" w:lineRule="exact" w:line="200"/>
              <w:ind w:left="0" w:right="0"/>
              <w:jc w:val="center"/>
              <w:textAlignment w:val="baseline"/>
              <w:rPr>
                <w:rFonts w:ascii="仿宋_GB2312" w:cs="仿宋_GB2312" w:eastAsia="仿宋_GB2312" w:hAnsi="仿宋_GB2312" w:hint="eastAsia"/>
                <w:b w:val="false"/>
                <w:bCs/>
                <w:i w:val="false"/>
                <w:color w:val="000000"/>
                <w:spacing w:val="0"/>
                <w:sz w:val="24"/>
                <w:szCs w:val="24"/>
              </w:rPr>
            </w:pPr>
          </w:p>
        </w:tc>
        <w:tc>
          <w:tcPr>
            <w:tcW w:w="2320" w:type="dxa"/>
            <w:tcBorders/>
            <w:vAlign w:val="center"/>
          </w:tcPr>
          <w:p w14:paraId="3A723D38">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安保与秩序管理方案</w:t>
            </w:r>
          </w:p>
        </w:tc>
        <w:tc>
          <w:tcPr>
            <w:tcW w:w="3980" w:type="dxa"/>
            <w:tcBorders/>
            <w:vAlign w:val="center"/>
          </w:tcPr>
          <w:p w14:paraId="189EB1A7">
            <w:pPr>
              <w:pStyle w:val="style0"/>
              <w:pageBreakBefore w:val="false"/>
              <w:wordWrap w:val="false"/>
              <w:spacing w:before="0" w:after="0" w:lineRule="atLeast" w:line="240"/>
              <w:ind w:left="0" w:right="0"/>
              <w:jc w:val="both"/>
              <w:textAlignment w:val="baseline"/>
              <w:rPr>
                <w:rFonts w:ascii="仿宋_GB2312" w:cs="仿宋_GB2312" w:eastAsia="仿宋_GB2312" w:hAnsi="仿宋_GB2312" w:hint="eastAsia"/>
                <w:b w:val="false"/>
                <w:bCs/>
                <w:i w:val="false"/>
                <w:color w:val="000000"/>
                <w:spacing w:val="0"/>
                <w:sz w:val="24"/>
                <w:szCs w:val="24"/>
                <w:lang w:eastAsia="zh-CN"/>
              </w:rPr>
            </w:pPr>
            <w:r>
              <w:rPr>
                <w:rFonts w:ascii="仿宋_GB2312" w:cs="仿宋_GB2312" w:eastAsia="仿宋_GB2312" w:hAnsi="仿宋_GB2312" w:hint="eastAsia"/>
                <w:b w:val="false"/>
                <w:bCs/>
                <w:i w:val="false"/>
                <w:color w:val="000000"/>
                <w:spacing w:val="0"/>
                <w:sz w:val="24"/>
                <w:szCs w:val="24"/>
              </w:rPr>
              <w:t>供应商结合本项目实质性要求提交的安保与秩序管理方案应将：①设置安全管理机构：②制定安全管理制度：③人员安全疏散及巡视巡查措施：④安保人员安全教育。以上4项内容在安保与秩序管理方案中体现。符合本项目实际情况，能够保障安保与秩序管理方案与本项目内容相符，前后一致的得4分，缺少一项内容扣1分，每项内容存在缺陷扣0.5分。不提供不得分注：内容缺陷是指：安保与秩序管理方案与本项目需求不符；内容前后不一致；逻辑错误；内容不完整或缺少关键节点、套用其他项目内容，以上有任意一项出现即视为缺陷</w:t>
            </w:r>
            <w:r>
              <w:rPr>
                <w:rFonts w:ascii="仿宋_GB2312" w:cs="仿宋_GB2312" w:eastAsia="仿宋_GB2312" w:hAnsi="仿宋_GB2312" w:hint="eastAsia"/>
                <w:b w:val="false"/>
                <w:bCs/>
                <w:i w:val="false"/>
                <w:color w:val="000000"/>
                <w:spacing w:val="0"/>
                <w:sz w:val="24"/>
                <w:szCs w:val="24"/>
                <w:lang w:eastAsia="zh-CN"/>
              </w:rPr>
              <w:t>。</w:t>
            </w:r>
          </w:p>
        </w:tc>
        <w:tc>
          <w:tcPr>
            <w:tcW w:w="1260" w:type="dxa"/>
            <w:tcBorders/>
            <w:vAlign w:val="center"/>
          </w:tcPr>
          <w:p w14:paraId="2B4FE93B">
            <w:pPr>
              <w:pStyle w:val="style0"/>
              <w:pageBreakBefore w:val="false"/>
              <w:wordWrap/>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8.00</w:t>
            </w:r>
          </w:p>
        </w:tc>
        <w:tc>
          <w:tcPr>
            <w:tcW w:w="1360" w:type="dxa"/>
            <w:tcBorders/>
            <w:vAlign w:val="center"/>
          </w:tcPr>
          <w:p w14:paraId="21377A67">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主观</w:t>
            </w:r>
          </w:p>
        </w:tc>
      </w:tr>
      <w:tr w14:paraId="7949671A">
        <w:tblPrEx/>
        <w:trPr>
          <w:trHeight w:val="3820" w:hRule="atLeast"/>
          <w:jc w:val="center"/>
        </w:trPr>
        <w:tc>
          <w:tcPr>
            <w:tcW w:w="1280" w:type="dxa"/>
            <w:vMerge w:val="restart"/>
            <w:tcBorders/>
            <w:vAlign w:val="center"/>
          </w:tcPr>
          <w:p w14:paraId="4DBBFDFC">
            <w:pPr>
              <w:pStyle w:val="style0"/>
              <w:keepNext w:val="false"/>
              <w:keepLines w:val="false"/>
              <w:pageBreakBefore w:val="false"/>
              <w:widowControl w:val="false"/>
              <w:kinsoku/>
              <w:wordWrap w:val="false"/>
              <w:overflowPunct/>
              <w:topLinePunct w:val="false"/>
              <w:autoSpaceDE/>
              <w:autoSpaceDN/>
              <w:bidi w:val="false"/>
              <w:adjustRightInd/>
              <w:snapToGrid/>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商务评审</w:t>
            </w:r>
          </w:p>
        </w:tc>
        <w:tc>
          <w:tcPr>
            <w:tcW w:w="2320" w:type="dxa"/>
            <w:tcBorders/>
            <w:vAlign w:val="center"/>
          </w:tcPr>
          <w:p w14:paraId="6EADA813">
            <w:pPr>
              <w:pStyle w:val="style0"/>
              <w:pageBreakBefore w:val="false"/>
              <w:wordWrap w:val="false"/>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投标人业绩</w:t>
            </w:r>
          </w:p>
        </w:tc>
        <w:tc>
          <w:tcPr>
            <w:tcW w:w="3980" w:type="dxa"/>
            <w:tcBorders/>
            <w:vAlign w:val="center"/>
          </w:tcPr>
          <w:p w14:paraId="4A684EDF">
            <w:pPr>
              <w:pStyle w:val="style0"/>
              <w:pageBreakBefore w:val="false"/>
              <w:wordWrap w:val="false"/>
              <w:spacing w:before="0" w:after="0" w:lineRule="atLeast" w:line="240"/>
              <w:ind w:left="0" w:right="0"/>
              <w:jc w:val="both"/>
              <w:textAlignment w:val="baseline"/>
              <w:rPr>
                <w:rFonts w:ascii="仿宋_GB2312" w:cs="仿宋_GB2312" w:eastAsia="仿宋_GB2312" w:hAnsi="仿宋_GB2312" w:hint="eastAsia"/>
                <w:b w:val="false"/>
                <w:bCs/>
                <w:i w:val="false"/>
                <w:color w:val="000000"/>
                <w:spacing w:val="0"/>
                <w:sz w:val="24"/>
                <w:szCs w:val="24"/>
              </w:rPr>
            </w:pPr>
            <w:r>
              <w:rPr>
                <w:rFonts w:ascii="仿宋_GB2312" w:cs="仿宋_GB2312" w:eastAsia="仿宋_GB2312" w:hAnsi="仿宋_GB2312" w:hint="eastAsia"/>
                <w:b w:val="false"/>
                <w:bCs/>
                <w:i w:val="false"/>
                <w:color w:val="000000"/>
                <w:spacing w:val="0"/>
                <w:sz w:val="24"/>
                <w:szCs w:val="24"/>
              </w:rPr>
              <w:t>供应商提供近三年(以投标截止时间为准过去三年内所完成的相关项目业绩)正在履约的或完成</w:t>
            </w:r>
            <w:r>
              <w:rPr>
                <w:rFonts w:ascii="仿宋_GB2312" w:cs="仿宋_GB2312" w:eastAsia="仿宋_GB2312" w:hAnsi="仿宋_GB2312" w:hint="eastAsia"/>
                <w:b w:val="false"/>
                <w:bCs/>
                <w:i w:val="false"/>
                <w:color w:val="000000"/>
                <w:spacing w:val="0"/>
                <w:sz w:val="24"/>
                <w:szCs w:val="24"/>
                <w:lang w:val="en-US" w:eastAsia="zh-CN"/>
              </w:rPr>
              <w:t>履约</w:t>
            </w:r>
            <w:r>
              <w:rPr>
                <w:rFonts w:ascii="仿宋_GB2312" w:cs="仿宋_GB2312" w:eastAsia="仿宋_GB2312" w:hAnsi="仿宋_GB2312" w:hint="eastAsia"/>
                <w:b w:val="false"/>
                <w:bCs/>
                <w:i w:val="false"/>
                <w:color w:val="000000"/>
                <w:spacing w:val="0"/>
                <w:sz w:val="24"/>
                <w:szCs w:val="24"/>
              </w:rPr>
              <w:t>的项目业绩证明，每提供一项得2分，</w:t>
            </w:r>
            <w:r>
              <w:rPr>
                <w:rFonts w:ascii="仿宋_GB2312" w:cs="仿宋_GB2312" w:eastAsia="仿宋_GB2312" w:hAnsi="仿宋_GB2312" w:hint="eastAsia"/>
                <w:b w:val="false"/>
                <w:bCs/>
                <w:i w:val="false"/>
                <w:color w:val="000000"/>
                <w:spacing w:val="0"/>
                <w:sz w:val="24"/>
                <w:szCs w:val="24"/>
                <w:lang w:val="en-US" w:eastAsia="zh-CN"/>
              </w:rPr>
              <w:t>公立学校业绩证明每提供一项得3分，最高不超过6分，</w:t>
            </w:r>
            <w:r>
              <w:rPr>
                <w:rFonts w:ascii="仿宋_GB2312" w:cs="仿宋_GB2312" w:eastAsia="仿宋_GB2312" w:hAnsi="仿宋_GB2312" w:hint="eastAsia"/>
                <w:b w:val="false"/>
                <w:bCs/>
                <w:i w:val="false"/>
                <w:color w:val="000000"/>
                <w:spacing w:val="0"/>
                <w:sz w:val="24"/>
                <w:szCs w:val="24"/>
              </w:rPr>
              <w:t>本项目最高得16分。注：①以提供</w:t>
            </w:r>
            <w:r>
              <w:rPr>
                <w:rFonts w:ascii="仿宋_GB2312" w:cs="仿宋_GB2312" w:eastAsia="仿宋_GB2312" w:hAnsi="仿宋_GB2312" w:hint="eastAsia"/>
                <w:b w:val="false"/>
                <w:bCs/>
                <w:i w:val="false"/>
                <w:color w:val="000000"/>
                <w:spacing w:val="0"/>
                <w:sz w:val="24"/>
                <w:szCs w:val="24"/>
                <w:lang w:val="en-US" w:eastAsia="zh-CN"/>
              </w:rPr>
              <w:t>政府采购云平台电子卖场合同或合同备案通知书为准，</w:t>
            </w:r>
            <w:r>
              <w:rPr>
                <w:rFonts w:ascii="仿宋_GB2312" w:cs="仿宋_GB2312" w:eastAsia="仿宋_GB2312" w:hAnsi="仿宋_GB2312" w:hint="eastAsia"/>
                <w:b w:val="false"/>
                <w:bCs/>
                <w:i w:val="false"/>
                <w:color w:val="000000"/>
                <w:spacing w:val="0"/>
                <w:sz w:val="24"/>
                <w:szCs w:val="24"/>
              </w:rPr>
              <w:t>合同包含关键页、合同金额费、签字盖章页，具体服务内容页，合同以签订日期为准，未提供或缺少上述要求不予认定项目业绩：②提供合同服务期限内至少一个月的发票凭证原件扫描件，否则不予认同合同业绩：③每提供一项业绩需附该业绩三年内无授诉记录证明，否则不予认定项目业绩。</w:t>
            </w:r>
          </w:p>
        </w:tc>
        <w:tc>
          <w:tcPr>
            <w:tcW w:w="1260" w:type="dxa"/>
            <w:tcBorders/>
            <w:shd w:val="clear" w:color="auto" w:fill="auto"/>
            <w:vAlign w:val="center"/>
          </w:tcPr>
          <w:p w14:paraId="4C9FA76E">
            <w:pPr>
              <w:pStyle w:val="style0"/>
              <w:pageBreakBefore w:val="false"/>
              <w:wordWrap/>
              <w:spacing w:before="0" w:after="0" w:lineRule="atLeast" w:line="240"/>
              <w:ind w:left="0" w:leftChars="0" w:right="0" w:rightChars="0"/>
              <w:jc w:val="center"/>
              <w:textAlignment w:val="baseline"/>
              <w:rPr>
                <w:rFonts w:ascii="仿宋_GB2312" w:cs="仿宋_GB2312" w:eastAsia="仿宋_GB2312" w:hAnsi="仿宋_GB2312" w:hint="eastAsia"/>
                <w:b w:val="false"/>
                <w:bCs/>
                <w:sz w:val="24"/>
                <w:szCs w:val="24"/>
                <w:lang w:val="en-US" w:eastAsia="zh-CN"/>
              </w:rPr>
            </w:pPr>
            <w:r>
              <w:rPr>
                <w:rFonts w:ascii="仿宋_GB2312" w:cs="仿宋_GB2312" w:eastAsia="仿宋_GB2312" w:hAnsi="仿宋_GB2312" w:hint="eastAsia"/>
                <w:b w:val="false"/>
                <w:bCs/>
                <w:i w:val="false"/>
                <w:color w:val="000000"/>
                <w:spacing w:val="0"/>
                <w:sz w:val="24"/>
                <w:szCs w:val="24"/>
              </w:rPr>
              <w:t>1</w:t>
            </w:r>
            <w:r>
              <w:rPr>
                <w:rFonts w:ascii="仿宋_GB2312" w:cs="仿宋_GB2312" w:eastAsia="仿宋_GB2312" w:hAnsi="仿宋_GB2312" w:hint="eastAsia"/>
                <w:b w:val="false"/>
                <w:bCs/>
                <w:i w:val="false"/>
                <w:color w:val="000000"/>
                <w:spacing w:val="0"/>
                <w:sz w:val="24"/>
                <w:szCs w:val="24"/>
                <w:lang w:val="en-US" w:eastAsia="zh-CN"/>
              </w:rPr>
              <w:t>8</w:t>
            </w:r>
            <w:r>
              <w:rPr>
                <w:rFonts w:ascii="仿宋_GB2312" w:cs="仿宋_GB2312" w:eastAsia="仿宋_GB2312" w:hAnsi="仿宋_GB2312" w:hint="eastAsia"/>
                <w:b w:val="false"/>
                <w:bCs/>
                <w:i w:val="false"/>
                <w:color w:val="000000"/>
                <w:spacing w:val="0"/>
                <w:sz w:val="24"/>
                <w:szCs w:val="24"/>
              </w:rPr>
              <w:t>.00</w:t>
            </w:r>
          </w:p>
        </w:tc>
        <w:tc>
          <w:tcPr>
            <w:tcW w:w="1360" w:type="dxa"/>
            <w:tcBorders/>
            <w:shd w:val="clear" w:color="auto" w:fill="auto"/>
            <w:vAlign w:val="center"/>
          </w:tcPr>
          <w:p w14:paraId="700C8EF3">
            <w:pPr>
              <w:pStyle w:val="style0"/>
              <w:pageBreakBefore w:val="false"/>
              <w:wordWrap w:val="false"/>
              <w:spacing w:before="0" w:after="0" w:lineRule="atLeast" w:line="240"/>
              <w:ind w:left="0" w:leftChars="0" w:right="0" w:rightChars="0"/>
              <w:jc w:val="center"/>
              <w:textAlignment w:val="baseline"/>
              <w:rPr>
                <w:rFonts w:ascii="仿宋_GB2312" w:cs="仿宋_GB2312" w:eastAsia="仿宋_GB2312" w:hAnsi="仿宋_GB2312" w:hint="eastAsia"/>
                <w:b w:val="false"/>
                <w:bCs/>
                <w:sz w:val="24"/>
                <w:szCs w:val="24"/>
                <w:lang w:val="en-US" w:eastAsia="zh-CN"/>
              </w:rPr>
            </w:pPr>
            <w:r>
              <w:rPr>
                <w:rFonts w:ascii="仿宋_GB2312" w:cs="仿宋_GB2312" w:eastAsia="仿宋_GB2312" w:hAnsi="仿宋_GB2312" w:hint="eastAsia"/>
                <w:b w:val="false"/>
                <w:bCs/>
                <w:i w:val="false"/>
                <w:color w:val="000000"/>
                <w:spacing w:val="0"/>
                <w:sz w:val="24"/>
                <w:szCs w:val="24"/>
              </w:rPr>
              <w:t>客观</w:t>
            </w:r>
          </w:p>
        </w:tc>
      </w:tr>
      <w:tr w14:paraId="0B25F99B">
        <w:tblPrEx/>
        <w:trPr>
          <w:trHeight w:val="3820" w:hRule="atLeast"/>
          <w:jc w:val="center"/>
        </w:trPr>
        <w:tc>
          <w:tcPr>
            <w:tcW w:w="1280" w:type="dxa"/>
            <w:vMerge w:val="continue"/>
            <w:tcBorders/>
            <w:vAlign w:val="center"/>
          </w:tcPr>
          <w:p w14:paraId="12E5683F">
            <w:pPr>
              <w:pStyle w:val="style0"/>
              <w:keepNext w:val="false"/>
              <w:keepLines w:val="false"/>
              <w:pageBreakBefore w:val="false"/>
              <w:widowControl w:val="false"/>
              <w:kinsoku/>
              <w:wordWrap w:val="false"/>
              <w:overflowPunct/>
              <w:topLinePunct w:val="false"/>
              <w:autoSpaceDE/>
              <w:autoSpaceDN/>
              <w:bidi w:val="false"/>
              <w:adjustRightInd/>
              <w:snapToGrid/>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rPr>
            </w:pPr>
          </w:p>
        </w:tc>
        <w:tc>
          <w:tcPr>
            <w:tcW w:w="2320" w:type="dxa"/>
            <w:tcBorders/>
            <w:shd w:val="clear" w:color="auto" w:fill="auto"/>
            <w:vAlign w:val="center"/>
          </w:tcPr>
          <w:p w14:paraId="22B397B7">
            <w:pPr>
              <w:pStyle w:val="style0"/>
              <w:pageBreakBefore w:val="false"/>
              <w:wordWrap w:val="false"/>
              <w:spacing w:before="0" w:after="0" w:lineRule="atLeast" w:line="240"/>
              <w:ind w:left="0" w:leftChars="0" w:right="0" w:rightChars="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拟派驻项目经理</w:t>
            </w:r>
          </w:p>
        </w:tc>
        <w:tc>
          <w:tcPr>
            <w:tcW w:w="3980" w:type="dxa"/>
            <w:tcBorders/>
            <w:shd w:val="clear" w:color="auto" w:fill="auto"/>
            <w:vAlign w:val="center"/>
          </w:tcPr>
          <w:p w14:paraId="062EFD66">
            <w:pPr>
              <w:pStyle w:val="style0"/>
              <w:pageBreakBefore w:val="false"/>
              <w:wordWrap w:val="false"/>
              <w:spacing w:before="0" w:after="0" w:lineRule="atLeast" w:line="240"/>
              <w:ind w:left="0" w:leftChars="0" w:right="0" w:rightChars="0"/>
              <w:jc w:val="both"/>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拟派驻项目经理为投标单位正式员工：①提供项目经理毕业证书，该项目经理具有大专以上(含大专)学历具备相关管理专业的得2分，其他得1分；②提供项目经理用户服务证明原件复印件，用户服务证明能表明该项目经理具备五年(含五年)以上管理经验的得2分，不提供或提供年限未达到要求不得分。注：需提供项目经理开标前一年内至少连续3个月的缴纳社保保险证明、劳动合同及工资证明材料复印件，否则不予记分。</w:t>
            </w:r>
          </w:p>
        </w:tc>
        <w:tc>
          <w:tcPr>
            <w:tcW w:w="1260" w:type="dxa"/>
            <w:tcBorders/>
            <w:shd w:val="clear" w:color="auto" w:fill="auto"/>
            <w:vAlign w:val="center"/>
          </w:tcPr>
          <w:p w14:paraId="45A510B8">
            <w:pPr>
              <w:pStyle w:val="style0"/>
              <w:pageBreakBefore w:val="false"/>
              <w:wordWrap/>
              <w:spacing w:before="0" w:after="0" w:lineRule="atLeast" w:line="240"/>
              <w:ind w:left="0" w:leftChars="0" w:right="0" w:rightChars="0"/>
              <w:jc w:val="center"/>
              <w:textAlignment w:val="baseline"/>
              <w:rPr>
                <w:rFonts w:ascii="仿宋_GB2312" w:cs="仿宋_GB2312" w:eastAsia="仿宋_GB2312" w:hAnsi="仿宋_GB2312" w:hint="eastAsia"/>
                <w:b w:val="false"/>
                <w:bCs/>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3</w:t>
            </w:r>
            <w:r>
              <w:rPr>
                <w:rFonts w:ascii="仿宋_GB2312" w:cs="仿宋_GB2312" w:eastAsia="仿宋_GB2312" w:hAnsi="仿宋_GB2312" w:hint="eastAsia"/>
                <w:b w:val="false"/>
                <w:bCs/>
                <w:i w:val="false"/>
                <w:color w:val="000000"/>
                <w:spacing w:val="0"/>
                <w:sz w:val="24"/>
                <w:szCs w:val="24"/>
              </w:rPr>
              <w:t>.00</w:t>
            </w:r>
          </w:p>
        </w:tc>
        <w:tc>
          <w:tcPr>
            <w:tcW w:w="1360" w:type="dxa"/>
            <w:tcBorders/>
            <w:shd w:val="clear" w:color="auto" w:fill="auto"/>
            <w:vAlign w:val="center"/>
          </w:tcPr>
          <w:p w14:paraId="02FE5D3B">
            <w:pPr>
              <w:pStyle w:val="style0"/>
              <w:pageBreakBefore w:val="false"/>
              <w:wordWrap w:val="false"/>
              <w:spacing w:before="0" w:after="0" w:lineRule="atLeast" w:line="240"/>
              <w:ind w:left="0" w:leftChars="0" w:right="0" w:rightChars="0"/>
              <w:jc w:val="center"/>
              <w:textAlignment w:val="baseline"/>
              <w:rPr>
                <w:rFonts w:ascii="仿宋_GB2312" w:cs="仿宋_GB2312" w:eastAsia="仿宋_GB2312" w:hAnsi="仿宋_GB2312" w:hint="eastAsia"/>
                <w:b w:val="false"/>
                <w:bCs/>
                <w:sz w:val="24"/>
                <w:szCs w:val="24"/>
                <w:lang w:val="en-US" w:eastAsia="zh-CN"/>
              </w:rPr>
            </w:pPr>
            <w:r>
              <w:rPr>
                <w:rFonts w:ascii="仿宋_GB2312" w:cs="仿宋_GB2312" w:eastAsia="仿宋_GB2312" w:hAnsi="仿宋_GB2312" w:hint="eastAsia"/>
                <w:b w:val="false"/>
                <w:bCs/>
                <w:i w:val="false"/>
                <w:color w:val="000000"/>
                <w:spacing w:val="0"/>
                <w:sz w:val="24"/>
                <w:szCs w:val="24"/>
              </w:rPr>
              <w:t>客观</w:t>
            </w:r>
          </w:p>
        </w:tc>
      </w:tr>
      <w:bookmarkStart w:id="0" w:name="_GoBack"/>
      <w:bookmarkEnd w:id="0"/>
      <w:tr w14:paraId="7EAD5E3F">
        <w:tblPrEx/>
        <w:trPr>
          <w:trHeight w:val="3365" w:hRule="atLeast"/>
          <w:jc w:val="center"/>
        </w:trPr>
        <w:tc>
          <w:tcPr>
            <w:tcW w:w="1280" w:type="dxa"/>
            <w:tcBorders/>
            <w:vAlign w:val="center"/>
          </w:tcPr>
          <w:p w14:paraId="0CB2866C">
            <w:pPr>
              <w:pStyle w:val="style0"/>
              <w:keepNext w:val="false"/>
              <w:keepLines w:val="false"/>
              <w:pageBreakBefore w:val="false"/>
              <w:widowControl w:val="false"/>
              <w:kinsoku/>
              <w:wordWrap w:val="false"/>
              <w:overflowPunct/>
              <w:topLinePunct w:val="false"/>
              <w:autoSpaceDE/>
              <w:autoSpaceDN/>
              <w:bidi w:val="false"/>
              <w:adjustRightInd/>
              <w:snapToGrid/>
              <w:spacing w:before="0" w:after="0" w:lineRule="atLeast" w:line="240"/>
              <w:ind w:left="0" w:right="0"/>
              <w:jc w:val="center"/>
              <w:textAlignment w:val="baseline"/>
              <w:rPr>
                <w:rFonts w:ascii="仿宋_GB2312" w:cs="仿宋_GB2312" w:eastAsia="仿宋_GB2312" w:hAnsi="仿宋_GB2312" w:hint="eastAsia"/>
                <w:b w:val="false"/>
                <w:bCs/>
                <w:i w:val="false"/>
                <w:color w:val="000000"/>
                <w:spacing w:val="0"/>
                <w:sz w:val="24"/>
                <w:szCs w:val="24"/>
                <w:lang w:val="en-US" w:eastAsia="zh-CN"/>
              </w:rPr>
            </w:pPr>
            <w:r>
              <w:rPr>
                <w:rFonts w:ascii="仿宋_GB2312" w:cs="仿宋_GB2312" w:eastAsia="仿宋_GB2312" w:hAnsi="仿宋_GB2312" w:hint="eastAsia"/>
                <w:b w:val="false"/>
                <w:bCs/>
                <w:i w:val="false"/>
                <w:color w:val="000000"/>
                <w:spacing w:val="0"/>
                <w:sz w:val="24"/>
                <w:szCs w:val="24"/>
                <w:lang w:val="en-US" w:eastAsia="zh-CN"/>
              </w:rPr>
              <w:t>价格分</w:t>
            </w:r>
          </w:p>
        </w:tc>
        <w:tc>
          <w:tcPr>
            <w:tcW w:w="2320" w:type="dxa"/>
            <w:tcBorders/>
            <w:shd w:val="clear" w:color="auto" w:fill="auto"/>
            <w:vAlign w:val="center"/>
          </w:tcPr>
          <w:p w14:paraId="2E65B1AD">
            <w:pPr>
              <w:pStyle w:val="style0"/>
              <w:pageBreakBefore w:val="false"/>
              <w:wordWrap w:val="false"/>
              <w:spacing w:before="0" w:after="0" w:lineRule="atLeast" w:line="240"/>
              <w:ind w:left="0" w:leftChars="0" w:right="0" w:rightChars="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价格分</w:t>
            </w:r>
          </w:p>
        </w:tc>
        <w:tc>
          <w:tcPr>
            <w:tcW w:w="3980" w:type="dxa"/>
            <w:tcBorders/>
            <w:shd w:val="clear" w:color="auto" w:fill="auto"/>
            <w:vAlign w:val="center"/>
          </w:tcPr>
          <w:p w14:paraId="0AA2CB62">
            <w:pPr>
              <w:pStyle w:val="style0"/>
              <w:pageBreakBefore w:val="false"/>
              <w:wordWrap w:val="false"/>
              <w:spacing w:before="0" w:after="0" w:lineRule="atLeast" w:line="240"/>
              <w:ind w:left="0" w:leftChars="0" w:right="0" w:rightChars="0"/>
              <w:jc w:val="both"/>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w="1260" w:type="dxa"/>
            <w:tcBorders/>
            <w:shd w:val="clear" w:color="auto" w:fill="auto"/>
            <w:vAlign w:val="center"/>
          </w:tcPr>
          <w:p w14:paraId="7E57E81B">
            <w:pPr>
              <w:pStyle w:val="style0"/>
              <w:pageBreakBefore w:val="false"/>
              <w:wordWrap/>
              <w:spacing w:before="0" w:after="0" w:lineRule="atLeast" w:line="240"/>
              <w:ind w:left="0" w:leftChars="0" w:right="0" w:rightChars="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50.00</w:t>
            </w:r>
          </w:p>
        </w:tc>
        <w:tc>
          <w:tcPr>
            <w:tcW w:w="1360" w:type="dxa"/>
            <w:tcBorders/>
            <w:shd w:val="clear" w:color="auto" w:fill="auto"/>
            <w:vAlign w:val="center"/>
          </w:tcPr>
          <w:p w14:paraId="128D5105">
            <w:pPr>
              <w:pStyle w:val="style0"/>
              <w:pageBreakBefore w:val="false"/>
              <w:wordWrap w:val="false"/>
              <w:spacing w:before="0" w:after="0" w:lineRule="atLeast" w:line="240"/>
              <w:ind w:left="0" w:leftChars="0" w:right="0" w:rightChars="0"/>
              <w:jc w:val="center"/>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客观</w:t>
            </w:r>
          </w:p>
        </w:tc>
      </w:tr>
    </w:tbl>
    <w:p w14:paraId="3CD7CE0F">
      <w:pPr>
        <w:pStyle w:val="style0"/>
        <w:keepNext w:val="false"/>
        <w:keepLines w:val="false"/>
        <w:pageBreakBefore w:val="false"/>
        <w:widowControl w:val="false"/>
        <w:kinsoku/>
        <w:wordWrap w:val="false"/>
        <w:overflowPunct/>
        <w:topLinePunct w:val="false"/>
        <w:autoSpaceDE/>
        <w:autoSpaceDN/>
        <w:bidi w:val="false"/>
        <w:adjustRightInd/>
        <w:snapToGrid/>
        <w:spacing w:before="0" w:after="0" w:lineRule="atLeast" w:line="480"/>
        <w:ind w:left="360" w:right="-6"/>
        <w:jc w:val="both"/>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汇总、排序</w:t>
      </w:r>
    </w:p>
    <w:p w14:paraId="05464C10">
      <w:pPr>
        <w:pStyle w:val="style0"/>
        <w:keepNext w:val="false"/>
        <w:keepLines w:val="false"/>
        <w:pageBreakBefore w:val="false"/>
        <w:widowControl w:val="false"/>
        <w:kinsoku/>
        <w:wordWrap w:val="false"/>
        <w:overflowPunct/>
        <w:topLinePunct w:val="false"/>
        <w:autoSpaceDE/>
        <w:autoSpaceDN/>
        <w:bidi w:val="false"/>
        <w:adjustRightInd/>
        <w:snapToGrid/>
        <w:spacing w:before="0" w:after="0" w:lineRule="atLeast" w:line="480"/>
        <w:ind w:left="0" w:right="-6" w:firstLine="360"/>
        <w:jc w:val="both"/>
        <w:textAlignment w:val="baseline"/>
        <w:rPr>
          <w:rFonts w:ascii="仿宋_GB2312" w:cs="仿宋_GB2312" w:eastAsia="仿宋_GB2312" w:hAnsi="仿宋_GB2312" w:hint="eastAsia"/>
          <w:b w:val="false"/>
          <w:bCs/>
          <w:sz w:val="24"/>
          <w:szCs w:val="24"/>
        </w:rPr>
      </w:pPr>
      <w:r>
        <w:rPr>
          <w:rFonts w:ascii="仿宋_GB2312" w:cs="仿宋_GB2312" w:eastAsia="仿宋_GB2312" w:hAnsi="仿宋_GB2312" w:hint="eastAsia"/>
          <w:b w:val="false"/>
          <w:bCs/>
          <w:i w:val="false"/>
          <w:color w:val="000000"/>
          <w:spacing w:val="0"/>
          <w:sz w:val="24"/>
          <w:szCs w:val="24"/>
        </w:rPr>
        <w:t>最低评标价法：评标结果按投标报价由低到高顺序排列。投标报价相同的并列。投标文件满足招标文件全部实质性要求且投标报价最低的投标人为排名第一的中标候选人。</w:t>
      </w:r>
    </w:p>
    <w:p w14:paraId="5E507315">
      <w:pPr>
        <w:pStyle w:val="style0"/>
        <w:keepNext w:val="false"/>
        <w:keepLines w:val="false"/>
        <w:pageBreakBefore w:val="false"/>
        <w:widowControl w:val="false"/>
        <w:kinsoku/>
        <w:wordWrap w:val="false"/>
        <w:overflowPunct/>
        <w:topLinePunct w:val="false"/>
        <w:autoSpaceDE/>
        <w:autoSpaceDN/>
        <w:bidi w:val="false"/>
        <w:adjustRightInd/>
        <w:snapToGrid/>
        <w:spacing w:before="0" w:after="0" w:lineRule="atLeast" w:line="480"/>
        <w:ind w:left="0" w:right="-6" w:firstLine="300"/>
        <w:jc w:val="both"/>
        <w:textAlignment w:val="baseline"/>
        <w:rPr>
          <w:sz w:val="18"/>
        </w:rPr>
      </w:pPr>
      <w:r>
        <w:rPr>
          <w:rFonts w:ascii="仿宋_GB2312" w:cs="仿宋_GB2312" w:eastAsia="仿宋_GB2312" w:hAnsi="仿宋_GB2312" w:hint="eastAsia"/>
          <w:b w:val="false"/>
          <w:bCs/>
          <w:i w:val="false"/>
          <w:color w:val="000000"/>
          <w:spacing w:val="0"/>
          <w:sz w:val="24"/>
          <w:szCs w:val="24"/>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sectPr>
      <w:headerReference w:type="default" r:id="rId2"/>
      <w:footerReference w:type="default" r:id="rId3"/>
      <w:pgSz w:w="11900" w:h="16820" w:orient="portrait"/>
      <w:pgMar w:top="1420" w:right="940" w:bottom="1420" w:left="940" w:header="1120" w:footer="11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等线">
    <w:altName w:val="等线"/>
    <w:panose1 w:val="02010600030001010101"/>
    <w:charset w:val="86"/>
    <w:family w:val="auto"/>
    <w:pitch w:val="default"/>
    <w:sig w:usb0="A00002BF" w:usb1="38CF7CFA" w:usb2="00000016" w:usb3="00000000" w:csb0="0004000F" w:csb1="00000000"/>
  </w:font>
  <w:font w:name="仿宋_GB2312">
    <w:altName w:val="仿宋_GB2312"/>
    <w:panose1 w:val="02010609030001010101"/>
    <w:charset w:val="86"/>
    <w:family w:val="auto"/>
    <w:pitch w:val="default"/>
    <w:sig w:usb0="00000001" w:usb1="080E0000" w:usb2="00000000" w:usb3="00000000" w:csb0="00040000"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1F59743E">
    <w:pPr>
      <w:pStyle w:val="style0"/>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14:paraId="773B5D2B">
    <w:pPr>
      <w:pStyle w:val="style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compat>
    <w:ulTrailSpace/>
    <w:useFELayout/>
    <w:compatSetting w:name="compatibilityMode" w:uri="http://schemas.microsoft.com/office/word" w:val="15"/>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宋体" w:eastAsia="宋体" w:hAnsi="等线"/>
      </w:rPr>
    </w:rPrDefault>
    <w:pPrDefault>
      <w:pPr/>
    </w:pPrDefault>
  </w:docDefaults>
  <w:style w:type="paragraph" w:default="1" w:styleId="style0">
    <w:name w:val="Normal"/>
    <w:next w:val="style0"/>
    <w:qFormat/>
    <w:uiPriority w:val="0"/>
    <w:pPr>
      <w:widowControl w:val="false"/>
      <w:jc w:val="both"/>
    </w:pPr>
    <w:rPr>
      <w:rFonts w:ascii="等线" w:cs="宋体" w:eastAsia="宋体" w:hAnsi="等线"/>
      <w:sz w:val="21"/>
      <w:szCs w:val="22"/>
    </w:rPr>
  </w:style>
  <w:style w:type="character" w:default="1" w:styleId="style65">
    <w:name w:val="Default Paragraph Font"/>
    <w:next w:val="style65"/>
    <w:qFormat/>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 w:type="paragraph" w:styleId="style32">
    <w:name w:val="footer"/>
    <w:basedOn w:val="style0"/>
    <w:next w:val="style32"/>
    <w:uiPriority w:val="0"/>
    <w:pPr>
      <w:tabs>
        <w:tab w:val="center" w:leader="none" w:pos="4153"/>
        <w:tab w:val="right" w:leader="none" w:pos="8306"/>
      </w:tabs>
      <w:snapToGrid w:val="false"/>
      <w:jc w:val="left"/>
    </w:pPr>
    <w:rPr>
      <w:sz w:val="18"/>
    </w:rPr>
  </w:style>
  <w:style w:type="paragraph" w:styleId="style31">
    <w:name w:val="header"/>
    <w:basedOn w:val="style0"/>
    <w:next w:val="style31"/>
    <w:uiPriority w:val="0"/>
    <w:pPr>
      <w:pBdr>
        <w:left w:val="none" w:sz="0" w:space="4" w:color="auto"/>
        <w:right w:val="none" w:sz="0" w:space="4" w:color="auto"/>
        <w:top w:val="none" w:sz="0" w:space="1" w:color="auto"/>
        <w:bottom w:val="none" w:sz="0" w:space="1" w:color="auto"/>
      </w:pBdr>
      <w:tabs>
        <w:tab w:val="center" w:leader="none" w:pos="4153"/>
        <w:tab w:val="right" w:leader="none" w:pos="8306"/>
      </w:tabs>
      <w:snapToGrid w:val="false"/>
      <w:spacing w:lineRule="auto" w:line="240"/>
      <w:jc w:val="both"/>
      <w:outlineLvl w:val="9"/>
    </w:pPr>
    <w:rPr>
      <w:sz w:val="18"/>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header" Target="head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21</TotalTime>
  <Words>2225</Words>
  <Pages>4</Pages>
  <Characters>2278</Characters>
  <Application>WPS Office</Application>
  <Paragraphs>72</Paragraphs>
  <ScaleCrop>false</ScaleCrop>
  <LinksUpToDate>false</LinksUpToDate>
  <CharactersWithSpaces>2278</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2025-07-29T09:09:00Z</dcterms:created>
  <dc:creator>Apache POI</dc:creator>
  <lastModifiedBy>JAD-AL00</lastModifiedBy>
  <lastPrinted>2025-07-30T06:42:14Z</lastPrinted>
  <dcterms:modified xsi:type="dcterms:W3CDTF">2025-07-30T10:14:17Z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eyJoZGlkIjoiOThiOWYyYTRhNWU0OWRkMzg5MDZhZDI0NDgzODI5NzYifQ==</vt:lpwstr>
  </property>
  <property fmtid="{D5CDD505-2E9C-101B-9397-08002B2CF9AE}" pid="3" name="KSOProductBuildVer">
    <vt:lpwstr>2052-12.1.0.22215</vt:lpwstr>
  </property>
  <property fmtid="{D5CDD505-2E9C-101B-9397-08002B2CF9AE}" pid="4" name="ICV">
    <vt:lpwstr>2FA1483F6FF148A5946A18D0766B931B_13</vt:lpwstr>
  </property>
</Properties>
</file>