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2024年海拉尔区城市供热、燃气生命线安全工程建设项目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呼伦贝尔市海拉尔区住房和城乡建设局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内蒙古宣宇工程项目管理有限公司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HZCHLES-C-F-250002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内蒙古宣宇工程项目管理有限公司</w:t>
      </w:r>
      <w:r>
        <w:rPr>
          <w:rFonts w:ascii="仿宋_GB2312" w:hAnsi="仿宋_GB2312" w:cs="仿宋_GB2312" w:eastAsia="仿宋_GB2312"/>
        </w:rPr>
        <w:t xml:space="preserve"> 受 </w:t>
      </w:r>
      <w:r>
        <w:rPr>
          <w:rFonts w:ascii="仿宋_GB2312" w:hAnsi="仿宋_GB2312" w:cs="仿宋_GB2312" w:eastAsia="仿宋_GB2312"/>
        </w:rPr>
        <w:t>呼伦贝尔市海拉尔区住房和城乡建设局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2024年海拉尔区城市供热、燃气生命线安全工程建设项目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2024年海拉尔区城市供热、燃气生命线安全工程建设项目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HZCHLES-C-F-250002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海政采计划[2025]00025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2024年海拉尔区城市供热、燃气生命线安全工程 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内蒙古宣宇工程项目管理有限公司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内蒙古自治区呼伦贝尔市海拉尔区山水颐园21号楼山水大厦六层、七层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021008</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包先生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04703565558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呼伦贝尔市海拉尔区住房和城乡建设局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海拉尔区东山党政办公大楼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田先生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18547003571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代理服务费收费标准：参照内工建协【2022】34号文件收费标准计费，金额共计1万元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呼伦贝尔市海拉尔区住房和城乡建设局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内蒙古宣宇工程项目管理有限公司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旨在加快推进城市基础设施生命线安全工程建设，针对海拉尔地区供热及燃气设备的安全和稳定运行问题，推进城市智能化物联感知设备布设动态监测管理技术，提高供热及燃气设施的安全性和稳定性，降低事故风险，为城市建设和安全运行提供保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详见附件</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标的名称：2024年海拉尔区城市供热、燃气生命线安全工程 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服务指标</w:t>
            </w:r>
          </w:p>
        </w:tc>
        <w:tc>
          <w:tcPr>
            <w:tcW w:type="dxa" w:w="3115"/>
          </w:tcPr>
          <w:p>
            <w:pPr>
              <w:pStyle w:val="null5"/>
              <w:jc w:val="left"/>
            </w:pPr>
            <w:r>
              <w:rPr>
                <w:rFonts w:ascii="仿宋_GB2312" w:hAnsi="仿宋_GB2312" w:cs="仿宋_GB2312" w:eastAsia="仿宋_GB2312"/>
              </w:rPr>
              <w:t>投标人须对采购文件的服务标准做出响应，全部满足、响应、正偏离的得15分。如有一项不满足、不响应、负偏离扣0.5分，扣完为止。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为了完善项目整体服务，供应商提交的总体项目实施方案应包含①供货方案；②安装方案；③调试方案；④验收方案；⑤运维方案；以上5项内容在项目实施方案要素中体现，项目实施应贯彻统筹管理，建立相互协调机制，符合本项目实际情况，所提供的方案需符合以上要求，总分20分，每缺少一项内容扣4分，缺项和未提供不得分,所提供的每小项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根据投标人提供的质量保证方案进行评分，包括：1、质量保证体系；2、质量保证措施。 每项得5分，缺项和未提供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进度管控方案</w:t>
            </w:r>
          </w:p>
        </w:tc>
        <w:tc>
          <w:tcPr>
            <w:tcW w:type="dxa" w:w="3115"/>
          </w:tcPr>
          <w:p>
            <w:pPr>
              <w:pStyle w:val="null5"/>
              <w:jc w:val="left"/>
            </w:pPr>
            <w:r>
              <w:rPr>
                <w:rFonts w:ascii="仿宋_GB2312" w:hAnsi="仿宋_GB2312" w:cs="仿宋_GB2312" w:eastAsia="仿宋_GB2312"/>
              </w:rPr>
              <w:t>为了保证实施进度，投标人须提供进度管控方案，保证能够在规定时间内开始提供服务。进度计划科学合理、服务细节切实可行、时间节点明确，保障措施可靠有效到位，得10分； 进度计划基本科学合理、服务细节基本可行，时间节点基本明确，保障措施基本 可靠有效到位，得5分；进度计划不够明确，服务细节不可行，时间节点不够明确，保障措施不可靠到位，得1分；未提供不得分。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关键技术问题的对策措施</w:t>
            </w:r>
          </w:p>
        </w:tc>
        <w:tc>
          <w:tcPr>
            <w:tcW w:type="dxa" w:w="3115"/>
          </w:tcPr>
          <w:p>
            <w:pPr>
              <w:pStyle w:val="null5"/>
              <w:jc w:val="left"/>
            </w:pPr>
            <w:r>
              <w:rPr>
                <w:rFonts w:ascii="仿宋_GB2312" w:hAnsi="仿宋_GB2312" w:cs="仿宋_GB2312" w:eastAsia="仿宋_GB2312"/>
              </w:rPr>
              <w:t>根据投标人提供的关键技术问题对策措施进行评分，包括：1、关键技术问题分析；2、解决措施。 每项得2.5分，缺项和未提供不得分,所提供的每小项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根据投标人提供的售后服务方案进行评分，包括：1、售后服务体系；2、售后技术服务方案。 每项得2.5分，缺项和未提供不得分,所提供的每小项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2021年1月1日至投标截止之日，投标供应商每提供1项类似本项目的业绩得3分，本项最高得15分。每一份业绩以合同为准，时间以合同签订时间为准，需提供合同书的关键页，包括但不限于:合同首页、供货内容页、签字盖章页。</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外观专利</w:t>
            </w:r>
          </w:p>
        </w:tc>
        <w:tc>
          <w:tcPr>
            <w:tcW w:type="dxa" w:w="3115"/>
          </w:tcPr>
          <w:p>
            <w:pPr>
              <w:pStyle w:val="null5"/>
              <w:jc w:val="left"/>
            </w:pPr>
            <w:r>
              <w:rPr>
                <w:rFonts w:ascii="仿宋_GB2312" w:hAnsi="仿宋_GB2312" w:cs="仿宋_GB2312" w:eastAsia="仿宋_GB2312"/>
              </w:rPr>
              <w:t>因室温采集终端须布放在住户家中，终端安装后需保证安装效果整洁美观，因此投标人所提供的室温采集终端应具备相应的外观设计成果。室温采集终端每具备一项外观设计专利的5分，最高的10分。不提供不得分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