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呼伦贝尔市海拉尔区国民经济和社会发展第十五个五年规划编制服务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呼伦贝尔市海拉尔区发展和改革委员会</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呼伦贝尔乾和项目管理咨询有限公司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HZCHLES-C-F-250005</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呼伦贝尔乾和项目管理咨询有限公司</w:t>
      </w:r>
      <w:r>
        <w:rPr>
          <w:rFonts w:ascii="仿宋_GB2312" w:hAnsi="仿宋_GB2312" w:cs="仿宋_GB2312" w:eastAsia="仿宋_GB2312"/>
        </w:rPr>
        <w:t xml:space="preserve"> 受 </w:t>
      </w:r>
      <w:r>
        <w:rPr>
          <w:rFonts w:ascii="仿宋_GB2312" w:hAnsi="仿宋_GB2312" w:cs="仿宋_GB2312" w:eastAsia="仿宋_GB2312"/>
        </w:rPr>
        <w:t>呼伦贝尔市海拉尔区发展和改革委员会</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呼伦贝尔市海拉尔区国民经济和社会发展第十五个五年规划编制服务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呼伦贝尔市海拉尔区国民经济和社会发展第十五个五年规划编制服务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HZCHLES-C-F-250005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海政采计划[2025]00039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呼伦贝尔市海拉尔区国民经济和社会发展第十五个五年规划编制服务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呼伦贝尔乾和项目管理咨询有限公司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内蒙古自治区呼伦贝尔市鄂温克族自治旗中鼎半岛B4-101</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021000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迟丽娜</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15147099951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呼伦贝尔市海拉尔区发展和改革委员会</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海拉尔区党政办公综合楼14楼</w:t>
      </w:r>
    </w:p>
    <w:p>
      <w:pPr>
        <w:pStyle w:val="null5"/>
      </w:pPr>
      <w:r>
        <w:rPr>
          <w:rFonts w:ascii="仿宋_GB2312" w:hAnsi="仿宋_GB2312" w:cs="仿宋_GB2312" w:eastAsia="仿宋_GB2312"/>
        </w:rPr>
        <w:t xml:space="preserve"> 邮编： </w:t>
      </w:r>
      <w:r>
        <w:rPr>
          <w:rFonts w:ascii="仿宋_GB2312" w:hAnsi="仿宋_GB2312" w:cs="仿宋_GB2312" w:eastAsia="仿宋_GB2312"/>
        </w:rPr>
        <w:t>021000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程国峥</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15374606880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代理服务费收费标准：参考《内蒙古自治区建设工程招标代理服务收费指导意见》（内工建协（2022）34号）的收费标准</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呼伦贝尔市海拉尔区发展和改革委员会</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呼伦贝尔乾和项目管理咨询有限公司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呼伦贝尔市海拉尔区国民经济和社会发展第十五个五年规划编制服务</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合同签订后一年内交货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1、合同签订后，达到付款条件起60日，支付合同总金额的30.00%</w:t>
            </w:r>
          </w:p>
          <w:p>
            <w:pPr>
              <w:pStyle w:val="null5"/>
              <w:jc w:val="left"/>
            </w:pPr>
            <w:r>
              <w:rPr>
                <w:rFonts w:ascii="仿宋_GB2312" w:hAnsi="仿宋_GB2312" w:cs="仿宋_GB2312" w:eastAsia="仿宋_GB2312"/>
              </w:rPr>
              <w:t>2、交付阶段性成果后，达到付款条件起60日，支付合同总金额的30.00%</w:t>
            </w:r>
          </w:p>
          <w:p>
            <w:pPr>
              <w:pStyle w:val="null5"/>
              <w:jc w:val="left"/>
            </w:pPr>
            <w:r>
              <w:rPr>
                <w:rFonts w:ascii="仿宋_GB2312" w:hAnsi="仿宋_GB2312" w:cs="仿宋_GB2312" w:eastAsia="仿宋_GB2312"/>
              </w:rPr>
              <w:t>3、交付正式成果后，达到付款条件起60日，支付合同总金额的40.00%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标的名称：呼伦贝尔市海拉尔区国民经济和社会发展第十五个五年规划编制服务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32"/>
              </w:rPr>
              <w:t>呼伦贝尔市海拉尔区国民经济和社会发展第十五个五年规划研究及编制</w:t>
            </w:r>
            <w:r>
              <w:rPr>
                <w:rFonts w:ascii="仿宋_GB2312" w:hAnsi="仿宋_GB2312" w:cs="仿宋_GB2312" w:eastAsia="仿宋_GB2312"/>
                <w:sz w:val="32"/>
              </w:rPr>
              <w:t>服务</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项目理解及需求分析</w:t>
            </w:r>
          </w:p>
        </w:tc>
        <w:tc>
          <w:tcPr>
            <w:tcW w:type="dxa" w:w="3115"/>
          </w:tcPr>
          <w:p>
            <w:pPr>
              <w:pStyle w:val="null5"/>
              <w:jc w:val="left"/>
            </w:pPr>
            <w:r>
              <w:rPr>
                <w:rFonts w:ascii="仿宋_GB2312" w:hAnsi="仿宋_GB2312" w:cs="仿宋_GB2312" w:eastAsia="仿宋_GB2312"/>
              </w:rPr>
              <w:t>供应商对本项目的认识、重难点理解等方面分析内容条理清晰，重难点分析全面、深刻、到位得20分；分析内容基本全面、重难点分析基本符合本项目内容得10分；分析内容不完整、与本项目不符或未提供本项内容得5分。不提供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供应商针对本项目提供的服务方案内容完整具体、合理、工作部署全面得20分；服务方案内容基本满足项目要求、工作部署一般得10分；服务方案内容简单、内容与采购内容不符或未提供本项内容得5分。不提供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编制周期及进度保证措施</w:t>
            </w:r>
          </w:p>
        </w:tc>
        <w:tc>
          <w:tcPr>
            <w:tcW w:type="dxa" w:w="3115"/>
          </w:tcPr>
          <w:p>
            <w:pPr>
              <w:pStyle w:val="null5"/>
              <w:jc w:val="left"/>
            </w:pPr>
            <w:r>
              <w:rPr>
                <w:rFonts w:ascii="仿宋_GB2312" w:hAnsi="仿宋_GB2312" w:cs="仿宋_GB2312" w:eastAsia="仿宋_GB2312"/>
              </w:rPr>
              <w:t>供应商对本项目的工作进度科学合理、适用于本项目特点，服务细节切实可行、时间节点明确，保障措施可靠、有效到位，得10分；工作进度、措施基本符合本项目技术要求，总体上科学合理、服务细节、时间节点基本明确，得5分；工作进度不明确，服务细节不可行，保障工作不到位，得3分。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拟派项目组的组织框架结构</w:t>
            </w:r>
          </w:p>
        </w:tc>
        <w:tc>
          <w:tcPr>
            <w:tcW w:type="dxa" w:w="3115"/>
          </w:tcPr>
          <w:p>
            <w:pPr>
              <w:pStyle w:val="null5"/>
              <w:jc w:val="left"/>
            </w:pPr>
            <w:r>
              <w:rPr>
                <w:rFonts w:ascii="仿宋_GB2312" w:hAnsi="仿宋_GB2312" w:cs="仿宋_GB2312" w:eastAsia="仿宋_GB2312"/>
              </w:rPr>
              <w:t>供应商针对本项目拟派人员职责分工明确，组织管理措施得当，对团队人员的稳定性的保证措施得当，得5分；拟派人员职责分工安排基本明确，组织管理措施基本满足，对团队人员的稳定性的保证措施基本得当，得3分；拟派人员职责分工、组织管理措施等内容不完善或未提供本项内容得2分。不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供应商针对本项目可能出现的问题分析全面、提供切实可行的质量保证措施，控制措施科学完善得5分；提供的质量保证措施基本可行，控制措施较为完善3分；质量保证措施、控制措施一般得2分。不提供不得分。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供应商针对本项目提供的服务体系完善，服务响应机制健全得5分；服务体系较完善、服务响应机制基本健全，得3分；服务体系、服务响应机制一般得2分。不提供不得分。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保密措施及合理化建议</w:t>
            </w:r>
          </w:p>
        </w:tc>
        <w:tc>
          <w:tcPr>
            <w:tcW w:type="dxa" w:w="3115"/>
          </w:tcPr>
          <w:p>
            <w:pPr>
              <w:pStyle w:val="null5"/>
              <w:jc w:val="left"/>
            </w:pPr>
            <w:r>
              <w:rPr>
                <w:rFonts w:ascii="仿宋_GB2312" w:hAnsi="仿宋_GB2312" w:cs="仿宋_GB2312" w:eastAsia="仿宋_GB2312"/>
              </w:rPr>
              <w:t>供应商针对本项目采取的保密措施周密、提出的合理化建议针对性强，得5分；针对本项目采取的保密措施基本符合要求、提出的合理化建议基本可行，得3分；针对本项目采取的保密措施、提出的合理化建议一般，可行性不强得2分。不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近年(2022年1月至本项目开标前一日)有与本项目类似的业绩的，每提供一项有效业绩得2分，本项最多得14分。注:须提供完整合同复印件，包含封面、内容页、签字盖章页、需体现时间(以签订合同时间为准)或中标(成交)通知书(不提供或提供不全或不能体现与本项目类似的服务业绩不得分)</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人员配置</w:t>
            </w:r>
          </w:p>
        </w:tc>
        <w:tc>
          <w:tcPr>
            <w:tcW w:type="dxa" w:w="3115"/>
          </w:tcPr>
          <w:p>
            <w:pPr>
              <w:pStyle w:val="null5"/>
              <w:jc w:val="left"/>
            </w:pPr>
            <w:r>
              <w:rPr>
                <w:rFonts w:ascii="仿宋_GB2312" w:hAnsi="仿宋_GB2312" w:cs="仿宋_GB2312" w:eastAsia="仿宋_GB2312"/>
              </w:rPr>
              <w:t>供应商拟派的项目成员中每具备一个高级职称证书的得2分；具备中级职称的得1分，本项最多得6分。注：须提供职称证书原件的复印件（加盖公章），未提供不得分。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