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扎赉诺尔区国民经济和社会发展第十五个五年规划编制咨询服务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呼伦贝尔市扎赉诺尔区发展和改革委员会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内蒙古中鲲工程技术咨询服务有限公司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ZQZCS-C-F-250001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内蒙古中鲲工程技术咨询服务有限公司</w:t>
      </w:r>
      <w:r>
        <w:rPr>
          <w:rFonts w:ascii="仿宋_GB2312" w:hAnsi="仿宋_GB2312" w:cs="仿宋_GB2312" w:eastAsia="仿宋_GB2312"/>
        </w:rPr>
        <w:t xml:space="preserve"> 受 </w:t>
      </w:r>
      <w:r>
        <w:rPr>
          <w:rFonts w:ascii="仿宋_GB2312" w:hAnsi="仿宋_GB2312" w:cs="仿宋_GB2312" w:eastAsia="仿宋_GB2312"/>
        </w:rPr>
        <w:t>呼伦贝尔市扎赉诺尔区发展和改革委员会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扎赉诺尔区国民经济和社会发展第十五个五年规划编制咨询服务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扎赉诺尔区国民经济和社会发展第十五个五年规划编制咨询服务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ZQZCS-C-F-250001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扎政采计划[2025]00004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扎赉诺尔区国民经济和社会发展第十五个五年规划编制咨询服务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内蒙古中鲲工程技术咨询服务有限公司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内蒙古自治区呼伦贝尔市满洲里市内蒙古自治区满洲里市互贸区湖滨小区1号楼B区6号门市及附属2楼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18947015845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呼伦贝尔市扎赉诺尔区发展和改革委员会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呼伦贝尔市扎赉诺尔区发展和改革委员会</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孔女士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18804959790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代理服务费收费标准：固定总价收取，9500.00</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呼伦贝尔市扎赉诺尔区发展和改革委员会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内蒙古中鲲工程技术咨询服务有限公司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扎赉诺尔区国民经济和社会发展第十五个五年规划编制咨询服务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自合同签订之日起至合同执行完毕止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项目所在地</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1、预付款，达到付款条件起15日，支付合同总金额的30.00%</w:t>
            </w:r>
          </w:p>
          <w:p>
            <w:pPr>
              <w:pStyle w:val="null5"/>
              <w:jc w:val="left"/>
            </w:pPr>
            <w:r>
              <w:rPr>
                <w:rFonts w:ascii="仿宋_GB2312" w:hAnsi="仿宋_GB2312" w:cs="仿宋_GB2312" w:eastAsia="仿宋_GB2312"/>
              </w:rPr>
              <w:t>2、规划纲要初稿提交后，达到付款条件起15日，支付合同总金额的40.00%</w:t>
            </w:r>
          </w:p>
          <w:p>
            <w:pPr>
              <w:pStyle w:val="null5"/>
              <w:jc w:val="left"/>
            </w:pPr>
            <w:r>
              <w:rPr>
                <w:rFonts w:ascii="仿宋_GB2312" w:hAnsi="仿宋_GB2312" w:cs="仿宋_GB2312" w:eastAsia="仿宋_GB2312"/>
              </w:rPr>
              <w:t>3、规划纲要送审提交后，达到付款条件起15日，支付合同总金额的30.00%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标的名称：扎赉诺尔区国民经济和社会发展第十五个五年规划编制咨询服务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outlineLvl w:val="1"/>
            </w:pPr>
            <w:r>
              <w:rPr>
                <w:rFonts w:ascii="仿宋_GB2312" w:hAnsi="仿宋_GB2312" w:cs="仿宋_GB2312" w:eastAsia="仿宋_GB2312"/>
                <w:sz w:val="27"/>
                <w:b/>
              </w:rPr>
              <w:t>一、项目概况</w:t>
            </w:r>
          </w:p>
          <w:p>
            <w:pPr>
              <w:pStyle w:val="null5"/>
              <w:ind w:firstLine="883"/>
              <w:jc w:val="both"/>
            </w:pPr>
            <w:r>
              <w:rPr>
                <w:rFonts w:ascii="仿宋_GB2312" w:hAnsi="仿宋_GB2312" w:cs="仿宋_GB2312" w:eastAsia="仿宋_GB2312"/>
                <w:sz w:val="27"/>
              </w:rPr>
              <w:t>（一）项目名称：扎赉诺尔区国民经济和社会发展第十五个五年规划编制咨询服务项目</w:t>
            </w:r>
          </w:p>
          <w:p>
            <w:pPr>
              <w:pStyle w:val="null5"/>
              <w:ind w:firstLine="883"/>
              <w:jc w:val="both"/>
            </w:pPr>
            <w:r>
              <w:rPr>
                <w:rFonts w:ascii="仿宋_GB2312" w:hAnsi="仿宋_GB2312" w:cs="仿宋_GB2312" w:eastAsia="仿宋_GB2312"/>
                <w:sz w:val="27"/>
              </w:rPr>
              <w:t>（二）服务范围：编制《呼伦贝尔市扎赉诺尔区国民经济和社会发展第十五个五年规划基本思路》、《中共呼伦贝尔市扎赉诺尔区委员会关于制定国民经济和社会发展第十五个五年规划的建议》、《呼伦贝尔市扎赉诺尔区国民经济和社会发展第十五个五年规划纲要》。</w:t>
            </w:r>
          </w:p>
          <w:p>
            <w:pPr>
              <w:pStyle w:val="null5"/>
              <w:ind w:firstLine="883"/>
              <w:jc w:val="both"/>
            </w:pPr>
            <w:r>
              <w:rPr>
                <w:rFonts w:ascii="仿宋_GB2312" w:hAnsi="仿宋_GB2312" w:cs="仿宋_GB2312" w:eastAsia="仿宋_GB2312"/>
                <w:sz w:val="27"/>
              </w:rPr>
              <w:t>（三）服务期：2025年12月31日前完成</w:t>
            </w:r>
          </w:p>
          <w:p>
            <w:pPr>
              <w:pStyle w:val="null5"/>
              <w:jc w:val="left"/>
              <w:outlineLvl w:val="1"/>
            </w:pPr>
            <w:r>
              <w:rPr>
                <w:rFonts w:ascii="仿宋_GB2312" w:hAnsi="仿宋_GB2312" w:cs="仿宋_GB2312" w:eastAsia="仿宋_GB2312"/>
                <w:sz w:val="27"/>
                <w:b/>
              </w:rPr>
              <w:t>二、技术要求</w:t>
            </w:r>
          </w:p>
          <w:p>
            <w:pPr>
              <w:pStyle w:val="null5"/>
              <w:jc w:val="left"/>
              <w:outlineLvl w:val="1"/>
            </w:pPr>
            <w:r>
              <w:rPr>
                <w:rFonts w:ascii="仿宋_GB2312" w:hAnsi="仿宋_GB2312" w:cs="仿宋_GB2312" w:eastAsia="仿宋_GB2312"/>
                <w:sz w:val="27"/>
                <w:b/>
              </w:rPr>
              <w:t xml:space="preserve">   1.《呼伦贝尔市扎赉诺尔区国民经济和社会发展第十五个五年规划基本思路》：紧紧围绕国家、自治区、呼伦贝尔市重大战略部署，分析扎赉诺尔区在“十五五”时期面临的机遇和挑战，研究提出扎赉诺尔区“十五五”发展的指导思想、发展目标、重点任务和重大举措等方面的主要考虑，研究提出扎赉诺尔区“十五五”国民经济和社会发展规划基本思路，为编制专项规划、区域规划、空间规划等奠定基础。</w:t>
            </w:r>
          </w:p>
          <w:p>
            <w:pPr>
              <w:pStyle w:val="null5"/>
              <w:jc w:val="left"/>
              <w:outlineLvl w:val="1"/>
            </w:pPr>
            <w:r>
              <w:rPr>
                <w:rFonts w:ascii="仿宋_GB2312" w:hAnsi="仿宋_GB2312" w:cs="仿宋_GB2312" w:eastAsia="仿宋_GB2312"/>
                <w:sz w:val="27"/>
                <w:b/>
              </w:rPr>
              <w:t xml:space="preserve">   2.《中共呼伦贝尔市扎赉诺尔区委员会关于制定国民经济和社会发展第十五个五年规划的建议》：总结扎赉诺尔区“十四五”时期发展成就，分析“十五五”时期扎赉诺尔区面临的经济社会发展环境，研究提出扎赉诺尔区“十五五”规划指导思想、坚持原则、主要目标和主要任务的建议。</w:t>
            </w:r>
          </w:p>
          <w:p>
            <w:pPr>
              <w:pStyle w:val="null5"/>
              <w:jc w:val="left"/>
              <w:outlineLvl w:val="1"/>
            </w:pPr>
            <w:r>
              <w:rPr>
                <w:rFonts w:ascii="仿宋_GB2312" w:hAnsi="仿宋_GB2312" w:cs="仿宋_GB2312" w:eastAsia="仿宋_GB2312"/>
                <w:sz w:val="27"/>
                <w:b/>
              </w:rPr>
              <w:t xml:space="preserve">   3.《呼伦贝尔市扎赉诺尔区国民经济和社会发展第十五个五年规划纲要》：在对扎赉诺尔区“十四五”期间发展取得的成就、经验及存在问题等全面总结分析的基础上，充分考虑扎赉诺尔区“十五五”时期即将面临的机遇和挑战，提出未来5年扎赉诺尔区国民经济和社会发展的总体定位与目标，明确产业发展、空间布局、基础设施、公共服务、生态文明等领域重点任务、重大举措，谋划重点项目和重大工程，并提出扎赉诺尔区“十五五”发展的保障措施。</w:t>
            </w:r>
          </w:p>
          <w:p>
            <w:pPr>
              <w:pStyle w:val="null5"/>
              <w:jc w:val="left"/>
              <w:outlineLvl w:val="1"/>
            </w:pPr>
            <w:r>
              <w:rPr>
                <w:rFonts w:ascii="仿宋_GB2312" w:hAnsi="仿宋_GB2312" w:cs="仿宋_GB2312" w:eastAsia="仿宋_GB2312"/>
                <w:sz w:val="27"/>
                <w:b/>
              </w:rPr>
              <w:t>三、履行时限</w:t>
            </w:r>
          </w:p>
          <w:p>
            <w:pPr>
              <w:pStyle w:val="null5"/>
              <w:ind w:firstLine="883"/>
              <w:jc w:val="both"/>
            </w:pPr>
            <w:r>
              <w:rPr>
                <w:rFonts w:ascii="仿宋_GB2312" w:hAnsi="仿宋_GB2312" w:cs="仿宋_GB2312" w:eastAsia="仿宋_GB2312"/>
                <w:sz w:val="27"/>
              </w:rPr>
              <w:t>（一）2025年12月31日前完成。</w:t>
            </w:r>
          </w:p>
          <w:p>
            <w:pPr>
              <w:pStyle w:val="null5"/>
              <w:ind w:firstLine="883"/>
              <w:jc w:val="both"/>
            </w:pPr>
            <w:r>
              <w:rPr>
                <w:rFonts w:ascii="仿宋_GB2312" w:hAnsi="仿宋_GB2312" w:cs="仿宋_GB2312" w:eastAsia="仿宋_GB2312"/>
                <w:sz w:val="27"/>
              </w:rPr>
              <w:t>（二）甲方有权对乙方是否按照预定的进度开展规划编制工作的情况进行检查、督促。</w:t>
            </w:r>
          </w:p>
          <w:p>
            <w:pPr>
              <w:pStyle w:val="null5"/>
              <w:jc w:val="left"/>
              <w:outlineLvl w:val="1"/>
            </w:pPr>
            <w:r>
              <w:rPr>
                <w:rFonts w:ascii="仿宋_GB2312" w:hAnsi="仿宋_GB2312" w:cs="仿宋_GB2312" w:eastAsia="仿宋_GB2312"/>
                <w:sz w:val="27"/>
                <w:b/>
              </w:rPr>
              <w:t>四、成果验收</w:t>
            </w:r>
          </w:p>
          <w:p>
            <w:pPr>
              <w:pStyle w:val="null5"/>
              <w:jc w:val="left"/>
              <w:outlineLvl w:val="1"/>
            </w:pPr>
            <w:r>
              <w:rPr>
                <w:rFonts w:ascii="仿宋_GB2312" w:hAnsi="仿宋_GB2312" w:cs="仿宋_GB2312" w:eastAsia="仿宋_GB2312"/>
                <w:sz w:val="27"/>
                <w:b/>
              </w:rPr>
              <w:t xml:space="preserve">    甲方按评审方式（评审、审查或其它）对乙方完成的规划成果进行最终验收，《规划》经呼伦贝尔市人民政府批复后即视为乙方履行完成本合同约定的全部责任和义务。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 其他组织和自然人也需要提供缴纳税收的凭据缴纳社保的凭据。依法免税或不需要缴纳社会保障资金的供应商，应提供相应文件证明其依法免税或不需要缴纳社会保障资金。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供应商未被列入“信用中国”失信被执行人、重大税收违法失信主体、政府采购严重违法失信行为记录名单和未被列入“中国政府采购网”政府采购严重违法失信行为记录名单。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对项目的理解程度</w:t>
            </w:r>
          </w:p>
        </w:tc>
        <w:tc>
          <w:tcPr>
            <w:tcW w:type="dxa" w:w="3115"/>
          </w:tcPr>
          <w:p>
            <w:pPr>
              <w:pStyle w:val="null5"/>
              <w:jc w:val="left"/>
            </w:pPr>
            <w:r>
              <w:rPr>
                <w:rFonts w:ascii="仿宋_GB2312" w:hAnsi="仿宋_GB2312" w:cs="仿宋_GB2312" w:eastAsia="仿宋_GB2312"/>
              </w:rPr>
              <w:t>根据各供应商针对本项目提供的对项目理解程度，包括但不限于：①对项目的总体情况和发展趋势； ②项目任务理解精准程度； ③国家政策的把握能力； ④对项目目标和需求的分析理解； 方案完整，每项得2.5分，方案一般每项得1分，未提供不得分。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根据各供应商针对本项目提供的技术方案，包括但不限于： ①供应商技术方案要符合行业要求； ②编制工作方案科学合理、总体思路明确、研究和编制路径清晰； ③充分体现高质量发展新思路分； ④符合扎赉诺尔区发展实际； ⑤规划纲具有战略性、前瞻性、现实性和可操作性。 方案完整，每项得2分，方案一般每项得1分，未提供不得分。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对项目重点、难点的理解及解决方案</w:t>
            </w:r>
          </w:p>
        </w:tc>
        <w:tc>
          <w:tcPr>
            <w:tcW w:type="dxa" w:w="3115"/>
          </w:tcPr>
          <w:p>
            <w:pPr>
              <w:pStyle w:val="null5"/>
              <w:jc w:val="left"/>
            </w:pPr>
            <w:r>
              <w:rPr>
                <w:rFonts w:ascii="仿宋_GB2312" w:hAnsi="仿宋_GB2312" w:cs="仿宋_GB2312" w:eastAsia="仿宋_GB2312"/>
              </w:rPr>
              <w:t>根据各供应商针对本项目提供的对项目重点、难点的理解及解决方案，包括但不限于： ①有提出项目重难点及分析、应对措施； ②有应对相应的重难点问题的细则，能保障项目顺利实施。 方案完整，每项得3.5分，方案一般每项得1.5分，未提供不得分。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进度安排</w:t>
            </w:r>
          </w:p>
        </w:tc>
        <w:tc>
          <w:tcPr>
            <w:tcW w:type="dxa" w:w="3115"/>
          </w:tcPr>
          <w:p>
            <w:pPr>
              <w:pStyle w:val="null5"/>
              <w:jc w:val="left"/>
            </w:pPr>
            <w:r>
              <w:rPr>
                <w:rFonts w:ascii="仿宋_GB2312" w:hAnsi="仿宋_GB2312" w:cs="仿宋_GB2312" w:eastAsia="仿宋_GB2312"/>
              </w:rPr>
              <w:t>根据供应商的进度安排科学合理、措施得力可行、有针对性进行评价： ①进度安排合理、措施可行的,得7分； ②进度安排较为合理、措施较为可行的,得4分； ③进度安排一般合理、措施一般的,得2分； ④不合理的或未提供的，得0分。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实施保障措施</w:t>
            </w:r>
          </w:p>
        </w:tc>
        <w:tc>
          <w:tcPr>
            <w:tcW w:type="dxa" w:w="3115"/>
          </w:tcPr>
          <w:p>
            <w:pPr>
              <w:pStyle w:val="null5"/>
              <w:jc w:val="left"/>
            </w:pPr>
            <w:r>
              <w:rPr>
                <w:rFonts w:ascii="仿宋_GB2312" w:hAnsi="仿宋_GB2312" w:cs="仿宋_GB2312" w:eastAsia="仿宋_GB2312"/>
              </w:rPr>
              <w:t>根据保障措施合理、有力，保证项目有效实施，质量保证措施完备合理进行评分： ①保障措施全面详细、针对性强的，得7分； ②保障措施一般、针对性一般的，得4分； ③保障措施简单、针对性简单的，得2分； ④不合理的或未提供的，得0分。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服务质量保证措施</w:t>
            </w:r>
          </w:p>
        </w:tc>
        <w:tc>
          <w:tcPr>
            <w:tcW w:type="dxa" w:w="3115"/>
          </w:tcPr>
          <w:p>
            <w:pPr>
              <w:pStyle w:val="null5"/>
              <w:jc w:val="left"/>
            </w:pPr>
            <w:r>
              <w:rPr>
                <w:rFonts w:ascii="仿宋_GB2312" w:hAnsi="仿宋_GB2312" w:cs="仿宋_GB2312" w:eastAsia="仿宋_GB2312"/>
              </w:rPr>
              <w:t>根据供应商对该项目拟采用的技术服务流程等方面的内容进行评价，内容包括但不限于以下内容：对供应商服务能力、项目配备、服务流程、服务效率等。 ①内容完整、明确、合理、可行且满足采购文件要求的得7分； ②内容无明显缺漏、比较明确、合理、可行的得4分； ③内容无明显缺漏，但不够明确、不够合理可行,需调整的得2分； ④未提供服务质量保证措施或无实质性内容的得0分。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机构设置和岗位职责</w:t>
            </w:r>
          </w:p>
        </w:tc>
        <w:tc>
          <w:tcPr>
            <w:tcW w:type="dxa" w:w="3115"/>
          </w:tcPr>
          <w:p>
            <w:pPr>
              <w:pStyle w:val="null5"/>
              <w:jc w:val="left"/>
            </w:pPr>
            <w:r>
              <w:rPr>
                <w:rFonts w:ascii="仿宋_GB2312" w:hAnsi="仿宋_GB2312" w:cs="仿宋_GB2312" w:eastAsia="仿宋_GB2312"/>
              </w:rPr>
              <w:t>根据供应商机构设置和岗位职责进行评审： ①组织机构设置非常合理、健全，人员配备完全符合本项目要求且岗位职责非常明确的得7分； ②组织机构设置合理、健全，人员配备符合本项目要求且岗位职责明确的得4分； ③组织机构设置基本合理、健全，人员配备基本符合本项目要求且岗位职责基本明确的得2分； ④组织机构设置及人员配备一般的得1分。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根据响应文件售后服务进行评分，内容应包含但不限于：售后服务承诺及售后服务体系内容；售后服务团队人员及分工；售后响应时间，并有详细配备方案。 ①内容详细，有针对性、可操作性强，完全满足项目要求，得5分； ②内容较为详细，针对性、可操作性较强，满足项目要求，得3分； ③内容偏简单，针对性、可操作性一般，基本满足项目要求，存在少量缺漏，得1分；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保密措施及合理化建议</w:t>
            </w:r>
          </w:p>
        </w:tc>
        <w:tc>
          <w:tcPr>
            <w:tcW w:type="dxa" w:w="3115"/>
          </w:tcPr>
          <w:p>
            <w:pPr>
              <w:pStyle w:val="null5"/>
              <w:jc w:val="left"/>
            </w:pPr>
            <w:r>
              <w:rPr>
                <w:rFonts w:ascii="仿宋_GB2312" w:hAnsi="仿宋_GB2312" w:cs="仿宋_GB2312" w:eastAsia="仿宋_GB2312"/>
              </w:rPr>
              <w:t>根据供应商针对本项目采取的保密措施周密、提出的合理化建议 ①针对性强，得5分； ②基本符合要求、提出的合理化建议基本可行，得3分； ③与本项目不符或未提供本项内容，得1分。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近三年（2022年1月1日至投标截止）有类似项目的业绩的有一项得2.5分，最多得10分。 注：响应文件中所附中标通知书和合同原件扫描件为评审依据，不提供或不齐全不计分，日期以合同签订日期为准。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w:t>
            </w:r>
          </w:p>
        </w:tc>
        <w:tc>
          <w:tcPr>
            <w:tcW w:type="dxa" w:w="3115"/>
          </w:tcPr>
          <w:p>
            <w:pPr>
              <w:pStyle w:val="null5"/>
              <w:jc w:val="left"/>
            </w:pPr>
            <w:r>
              <w:rPr>
                <w:rFonts w:ascii="仿宋_GB2312" w:hAnsi="仿宋_GB2312" w:cs="仿宋_GB2312" w:eastAsia="仿宋_GB2312"/>
              </w:rPr>
              <w:t>项目主要成员具有副高级及以上职称（含正高级工程师、正高级经济师、教授、研究员、高级工程师、高级经济师、副教授、副研究员）的，每有1人得2分； 具有中级职称（含工程师、经济师、讲师、助理研究员）的每有1人得1分。 总计最高得10分。 注：以上拟派本项目团队人员须提供职称证书。</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服务能力</w:t>
            </w:r>
          </w:p>
        </w:tc>
        <w:tc>
          <w:tcPr>
            <w:tcW w:type="dxa" w:w="3115"/>
          </w:tcPr>
          <w:p>
            <w:pPr>
              <w:pStyle w:val="null5"/>
              <w:jc w:val="left"/>
            </w:pPr>
            <w:r>
              <w:rPr>
                <w:rFonts w:ascii="仿宋_GB2312" w:hAnsi="仿宋_GB2312" w:cs="仿宋_GB2312" w:eastAsia="仿宋_GB2312"/>
              </w:rPr>
              <w:t>近三年（2022年1月1日至投标截止）为相关部门起草政策文件并被采纳的，撰写的研究报告、咨询建议被省部级领导批示的，每提供一个证明材料得1分，最高得5分。 注：证明材料为相关部门出具的加盖公章的证明扫描件、批示原文扫描件</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