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住建和生态环境领域违法问题集中整治专项行动植被恢复及管护工程</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阿荣旗林业和草原局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锐驰项目管理有限公司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HZCARQS-G-F-250001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锐驰项目管理有限公司</w:t>
      </w:r>
      <w:r>
        <w:rPr>
          <w:rFonts w:ascii="仿宋_GB2312" w:hAnsi="仿宋_GB2312" w:cs="仿宋_GB2312" w:eastAsia="仿宋_GB2312"/>
        </w:rPr>
        <w:t xml:space="preserve"> 受 </w:t>
      </w:r>
      <w:r>
        <w:rPr>
          <w:rFonts w:ascii="仿宋_GB2312" w:hAnsi="仿宋_GB2312" w:cs="仿宋_GB2312" w:eastAsia="仿宋_GB2312"/>
        </w:rPr>
        <w:t>阿荣旗林业和草原局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住建和生态环境领域违法问题集中整治专项行动植被恢复及管护工程</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住建和生态环境领域违法问题集中整治专项行动植被恢复及管护工程</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HZCARQS-G-F-250001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阿政采计划[2025]00011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18,890,000.00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住建和生态环境领域违法问题集中整治专项行动植被恢复及管护工程施工</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18,890,000.00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416,000.00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住建和生态环境领域违法问题集中整治专项行动植被恢复及管护工程监理</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416,000.00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1、特定资格要求：资质证书需具备有效期内建设行政主管部门颁发的市政公用工程乙级及以上监理资质或工程监理综合资质</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锐驰项目管理有限公司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呼伦贝尔市海拉尔区郦水家园10号楼102门市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罗世元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0470-8226188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阿荣旗林业和草原局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阿荣旗福利路与阿伦大街交叉口林业大厦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张敬斌</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13948906738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代理服务费收费标准：按内工建协【2022】34号文件《内蒙古自治区建设工程招标代理服务收费指导意见》文件规定收取招标代理服务费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采购包1保证金金额：370,000.00元</w:t>
            </w:r>
          </w:p>
          <w:p>
            <w:pPr>
              <w:pStyle w:val="null5"/>
              <w:jc w:val="left"/>
            </w:pPr>
            <w:r>
              <w:rPr>
                <w:rFonts w:ascii="仿宋_GB2312" w:hAnsi="仿宋_GB2312" w:cs="仿宋_GB2312" w:eastAsia="仿宋_GB2312"/>
              </w:rPr>
              <w:t>采购包2保证金金额：8,000.00元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阿荣旗林业和草原局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审查供应商2022或2023年度经会计师事务所出具的财务审计报告或其基本开户银行出具的近一年内的银行资信证明。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1.提供递交响应文件截止之日前一年内（至少一个月）的良好缴纳税收的相关凭据。（以税务机关提供的纳税凭据或银行入账单为准） 2.提供递交响应文件截止之日前一年内（至少一个月）缴纳社会保险的凭证。（以专用收据或社会保险缴纳清单为准） 注：其他组织和自然人也需要提供缴纳税收的凭据金额缴纳社保的凭据。依法免税或不需要缴纳社会保障资金的供应商，应提供相应文件证明其依法免税或不需要缴纳社会保障资金。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审查供应商“参加本次采购活动前3年内”没有重大违法记录书面声明函。</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开标结束后资格审查时，供应商未被列入失信被执行人、重大税收违法失信主体、政府采购严重违法失信行为记录名单。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审查供应商2022或2023年度经会计师事务所出具的财务审计报告或其基本开户银行出具的近一年内的银行资信证明。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1.提供递交响应文件截止之日前一年内（至少一个月）的良好缴纳税收的相关凭据。（以税务机关提供的纳税凭据或银行入账单为准） 2.提供递交响应文件截止之日前一年内（至少一个月）缴纳社会保险的凭证。（以专用收据或社会保险缴纳清单为准） 注：其他组织和自然人也需要提供缴纳税收的凭据金额缴纳社保的凭据。依法免税或不需要缴纳社会保障资金的供应商，应提供相应文件证明其依法免税或不需要缴纳社会保障资金。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审查供应商“参加本次采购活动前3年内”没有重大违法记录书面声明函。</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开标结束后资格审查时，供应商未被列入失信被执行人、重大税收违法失信主体、政府采购严重违法失信行为记录名单。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资质证书需具备有效期内建设行政主管部门颁发的市政公用工程乙级及以上监理资质或工程监理综合资质</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植被恢复及管护面积1500亩。1.植被恢复工程。栽植樟子松苗高500-700mm以内，株行距2米×3米。2.管护工程。围栏工程、人工资源管护、监控设备、无人机、车辆等内容。</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自合同签订之日起5年内完成</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阿荣旗境内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1、基础设施完成100%，向中标人支付至总价款的50%（扣除已支付部分，达到付款条件起7日，支付合同总金额的50.00%</w:t>
            </w:r>
          </w:p>
          <w:p>
            <w:pPr>
              <w:pStyle w:val="null5"/>
              <w:jc w:val="left"/>
            </w:pPr>
            <w:r>
              <w:rPr>
                <w:rFonts w:ascii="仿宋_GB2312" w:hAnsi="仿宋_GB2312" w:cs="仿宋_GB2312" w:eastAsia="仿宋_GB2312"/>
              </w:rPr>
              <w:t>2、管护期内，每年向中标人支付至总价款的10%（扣除已支付部分），达到付款条件起7日，支付合同总金额的10.00%</w:t>
            </w:r>
          </w:p>
          <w:p>
            <w:pPr>
              <w:pStyle w:val="null5"/>
              <w:jc w:val="left"/>
            </w:pPr>
            <w:r>
              <w:rPr>
                <w:rFonts w:ascii="仿宋_GB2312" w:hAnsi="仿宋_GB2312" w:cs="仿宋_GB2312" w:eastAsia="仿宋_GB2312"/>
              </w:rPr>
              <w:t>3、管护期内，每年向中标人支付至总价款的10%（扣除已支付部分），达到付款条件起7日，支付合同总金额的10.00%</w:t>
            </w:r>
          </w:p>
          <w:p>
            <w:pPr>
              <w:pStyle w:val="null5"/>
              <w:jc w:val="left"/>
            </w:pPr>
            <w:r>
              <w:rPr>
                <w:rFonts w:ascii="仿宋_GB2312" w:hAnsi="仿宋_GB2312" w:cs="仿宋_GB2312" w:eastAsia="仿宋_GB2312"/>
              </w:rPr>
              <w:t>4、管护期内，每年向中标人支付至总价款的10%（扣除已支付部分），达到付款条件起7日，支付合同总金额的10.00%</w:t>
            </w:r>
          </w:p>
          <w:p>
            <w:pPr>
              <w:pStyle w:val="null5"/>
              <w:jc w:val="left"/>
            </w:pPr>
            <w:r>
              <w:rPr>
                <w:rFonts w:ascii="仿宋_GB2312" w:hAnsi="仿宋_GB2312" w:cs="仿宋_GB2312" w:eastAsia="仿宋_GB2312"/>
              </w:rPr>
              <w:t>5、管护期内，每年向中标人支付至总价款的10%（扣除已支付部分），达到付款条件起7日，支付合同总金额的10.00%</w:t>
            </w:r>
          </w:p>
          <w:p>
            <w:pPr>
              <w:pStyle w:val="null5"/>
              <w:jc w:val="left"/>
            </w:pPr>
            <w:r>
              <w:rPr>
                <w:rFonts w:ascii="仿宋_GB2312" w:hAnsi="仿宋_GB2312" w:cs="仿宋_GB2312" w:eastAsia="仿宋_GB2312"/>
              </w:rPr>
              <w:t>6、管护期内，每年向中标人支付至总价款的10%（扣除已支付部分），达到付款条件起7日，支付合同总金额的10.00%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2025年1月-2025年12月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阿荣旗境内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1、乙方服务完成，甲方验收合格后，乙方7个工作日内向甲方提供正规税务增值税普通发票，由甲方收到发票后支付全部工程款，达到付款条件起7日，支付合同总金额的100.00%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标的名称：住建和生态环境领域违法问题集中整治专项行动植被恢复及管护工程施工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19"/>
                <w:color w:val="000000"/>
              </w:rPr>
              <w:t>详见附件</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标的名称：住建和生态环境领域违法问题集中整治专项行动植被恢复及管护工程监理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1、监理服务要求：负责项目实施全程的标准把关、质量监督、工程管理、安全生产等工作，对项目实施 质量和安全生产负责；公正、独立开展工作，及时向采购人汇报工程建设的进展情况和存在的问题；按 采购人要求提交工程监理报告，严把项目质量。</w:t>
            </w:r>
          </w:p>
          <w:p>
            <w:pPr>
              <w:pStyle w:val="null5"/>
              <w:jc w:val="left"/>
            </w:pPr>
            <w:r>
              <w:rPr>
                <w:rFonts w:ascii="仿宋_GB2312" w:hAnsi="仿宋_GB2312" w:cs="仿宋_GB2312" w:eastAsia="仿宋_GB2312"/>
              </w:rPr>
              <w:t>2、按照项目实施方案、初步设计及作业设计内容，控制工程建设投资、建设工期、工程质量、安全、环 保等各环节。 3、审查和监督项目实施材料、设备质量，监督审査项目实施过程各个环节执行质量和进度，对不能满足 项目质量要求的，督促项目实施单位采取措施限期整改解决。</w:t>
            </w:r>
          </w:p>
          <w:p>
            <w:pPr>
              <w:pStyle w:val="null5"/>
              <w:jc w:val="left"/>
            </w:pPr>
            <w:r>
              <w:rPr>
                <w:rFonts w:ascii="仿宋_GB2312" w:hAnsi="仿宋_GB2312" w:cs="仿宋_GB2312" w:eastAsia="仿宋_GB2312"/>
              </w:rPr>
              <w:t>4、督促、检查项目实施单位严格执行国家相关技术规范标准，发现问题应及时责令项目实施单位采取措 施进行处理，必要时应责令项目实施单位停工整改。</w:t>
            </w:r>
          </w:p>
          <w:p>
            <w:pPr>
              <w:pStyle w:val="null5"/>
              <w:jc w:val="left"/>
            </w:pPr>
            <w:r>
              <w:rPr>
                <w:rFonts w:ascii="仿宋_GB2312" w:hAnsi="仿宋_GB2312" w:cs="仿宋_GB2312" w:eastAsia="仿宋_GB2312"/>
              </w:rPr>
              <w:t>5、按照项目作业程序，巡视、跟踪检测等方法实施监理。</w:t>
            </w:r>
          </w:p>
          <w:p>
            <w:pPr>
              <w:pStyle w:val="null5"/>
              <w:jc w:val="left"/>
            </w:pPr>
            <w:r>
              <w:rPr>
                <w:rFonts w:ascii="仿宋_GB2312" w:hAnsi="仿宋_GB2312" w:cs="仿宋_GB2312" w:eastAsia="仿宋_GB2312"/>
              </w:rPr>
              <w:t>6、组织项目实施质量综合评定，签署工程检验认可书和工程付款凭证。</w:t>
            </w:r>
          </w:p>
          <w:p>
            <w:pPr>
              <w:pStyle w:val="null5"/>
              <w:jc w:val="left"/>
            </w:pPr>
            <w:r>
              <w:rPr>
                <w:rFonts w:ascii="仿宋_GB2312" w:hAnsi="仿宋_GB2312" w:cs="仿宋_GB2312" w:eastAsia="仿宋_GB2312"/>
              </w:rPr>
              <w:t>7、发现存在质量、安全事故隐患，或发生质量、安全事故，应按有关规定及时采取相应的监理措施。</w:t>
            </w:r>
          </w:p>
          <w:p>
            <w:pPr>
              <w:pStyle w:val="null5"/>
              <w:jc w:val="left"/>
            </w:pPr>
            <w:r>
              <w:rPr>
                <w:rFonts w:ascii="仿宋_GB2312" w:hAnsi="仿宋_GB2312" w:cs="仿宋_GB2312" w:eastAsia="仿宋_GB2312"/>
              </w:rPr>
              <w:t>8、定期报告项目实施进度、项目质量和相关控制措施情况，编制《监理日志》等项目所需监理资料。</w:t>
            </w:r>
          </w:p>
          <w:p>
            <w:pPr>
              <w:pStyle w:val="null5"/>
              <w:jc w:val="left"/>
            </w:pPr>
            <w:r>
              <w:rPr>
                <w:rFonts w:ascii="仿宋_GB2312" w:hAnsi="仿宋_GB2312" w:cs="仿宋_GB2312" w:eastAsia="仿宋_GB2312"/>
              </w:rPr>
              <w:t>9、项目竣工后，整理施工过程资料和有关工程技术档案材料，參与项目竣工预验收和相关验收文件的签 署，提交工程监理报告。</w:t>
            </w:r>
          </w:p>
          <w:p>
            <w:pPr>
              <w:pStyle w:val="null5"/>
              <w:jc w:val="left"/>
            </w:pPr>
            <w:r>
              <w:rPr>
                <w:rFonts w:ascii="仿宋_GB2312" w:hAnsi="仿宋_GB2312" w:cs="仿宋_GB2312" w:eastAsia="仿宋_GB2312"/>
              </w:rPr>
              <w:t>10、在项目管护阶段，负责检査项目质量状况，承担质量责任，并督促项目实施单位做好项目区管护工 作，对项目建设质量终生负责。 11.对项目实施质量和安全生产负责监督管理。</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实施方案及主要技术措施 (15.0 分)</w:t>
            </w:r>
          </w:p>
        </w:tc>
        <w:tc>
          <w:tcPr>
            <w:tcW w:type="dxa" w:w="3115"/>
          </w:tcPr>
          <w:p>
            <w:pPr>
              <w:pStyle w:val="null5"/>
              <w:jc w:val="left"/>
            </w:pPr>
            <w:r>
              <w:rPr>
                <w:rFonts w:ascii="仿宋_GB2312" w:hAnsi="仿宋_GB2312" w:cs="仿宋_GB2312" w:eastAsia="仿宋_GB2312"/>
              </w:rPr>
              <w:t>①实施方案及主要技术措施，非常细致、科学合理，对关键工序和关键部位施工具有非常针对性的，得10-15分（10＜分值≤15）； ②实施方案及主要技术措施，比较细致、科学合理，对关键工序和关键部位施工比较具有针对性的，得5-9分（5＜分值≤9）； ③实施方案及主要技术措施，一般细致、科学合理，对关键工序和关键部位施工一般具有针对性的，得1-4分（1＜分值≤4）； ④服实施方案及主要技术措施，不细致、科学合理，对关键工序和关键部位施工不具有针对性的或未提供的，得0分。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项目进度计划和进度措施 (15.0 分)</w:t>
            </w:r>
          </w:p>
        </w:tc>
        <w:tc>
          <w:tcPr>
            <w:tcW w:type="dxa" w:w="3115"/>
          </w:tcPr>
          <w:p>
            <w:pPr>
              <w:pStyle w:val="null5"/>
              <w:jc w:val="left"/>
            </w:pPr>
            <w:r>
              <w:rPr>
                <w:rFonts w:ascii="仿宋_GB2312" w:hAnsi="仿宋_GB2312" w:cs="仿宋_GB2312" w:eastAsia="仿宋_GB2312"/>
              </w:rPr>
              <w:t>①项目进度计划严格按采购文件要求安排，投入的人员、设备等计划非常合理，与进度计划非常呼应，非常满足项目需要，工序搭配逻辑关系和关键线路非常清晰、合理，并能指导施工且针对性非常合理的，得10-15分（10＜分值≤15）； ②项目进度计划按采购文件要求安排，投入的人员、设备等 计划比较合理，与进度计划比较呼应，比较满足项目需要，工序搭 配逻辑关系和关键线路比较合理，针对性比较合理的，得5-9分（5＜分值≤9）； ③项目进度计划安排一般合理，投入的人员、设备等计划一般合理，与进度计划一般呼应，一般满足项目需要工序搭配逻辑关系和关键线路一般合理，针对性一般合理的，得1-4分（1＜分值≤4）； ④项目进度计划及投入的人员、设备的配备计划不合理或未提供的，得0分。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养护管理 (10.0分)</w:t>
            </w:r>
          </w:p>
        </w:tc>
        <w:tc>
          <w:tcPr>
            <w:tcW w:type="dxa" w:w="3115"/>
          </w:tcPr>
          <w:p>
            <w:pPr>
              <w:pStyle w:val="null5"/>
              <w:jc w:val="left"/>
            </w:pPr>
            <w:r>
              <w:rPr>
                <w:rFonts w:ascii="仿宋_GB2312" w:hAnsi="仿宋_GB2312" w:cs="仿宋_GB2312" w:eastAsia="仿宋_GB2312"/>
              </w:rPr>
              <w:t>①养护管理制度非常合理、经济、安全、可行，措施非常得力的（包含但不限于森林防火、病虫害防治），得7-10分（7＜分值≤10）； ②养护管理制度比较合理、经济、安全、可行，措施比较得力的（包含但不限于森林防 火、病虫害防治），得4-6分（4＜分值≤6）； ③养护管理制度一般合理、经济、安全、可行，措施一般得力的（包含但不限于森林防火、病虫害防治），得1-3分（1＜分值≤3）；④养护管理制度不合理、经济、安全、可行，措施不得力的（包含但不限于森林防火、病虫害防治）或未提供的，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应急处理方案 (10.0分)</w:t>
            </w:r>
          </w:p>
        </w:tc>
        <w:tc>
          <w:tcPr>
            <w:tcW w:type="dxa" w:w="3115"/>
          </w:tcPr>
          <w:p>
            <w:pPr>
              <w:pStyle w:val="null5"/>
              <w:jc w:val="left"/>
            </w:pPr>
            <w:r>
              <w:rPr>
                <w:rFonts w:ascii="仿宋_GB2312" w:hAnsi="仿宋_GB2312" w:cs="仿宋_GB2312" w:eastAsia="仿宋_GB2312"/>
              </w:rPr>
              <w:t>①针对本工程具有非常完整的应急处理方案，措施非常齐全，方案非常可行。（包含针对特殊天气影响制定的应急处理方案），得7-10分（7＜分值≤10）； ②针对本工程具有比较完整的应急处理方案，措施比较齐全，方案比较可行，（包含针对特殊天气影响制定的应急处理方案）得4-6分（4＜分 值≤6）； ③针对本工程具有一般完整的应急处理方案，措施一般，方案一般，（包含针对特殊天气影响制定的应急处理方案）得1-3分（1＜分值≤3）； ④针对本工程没有完整的应急处理方案，措施不齐全，方案不可行或未提供得0分。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环境保护措施 (5.0分)</w:t>
            </w:r>
          </w:p>
        </w:tc>
        <w:tc>
          <w:tcPr>
            <w:tcW w:type="dxa" w:w="3115"/>
          </w:tcPr>
          <w:p>
            <w:pPr>
              <w:pStyle w:val="null5"/>
              <w:jc w:val="left"/>
            </w:pPr>
            <w:r>
              <w:rPr>
                <w:rFonts w:ascii="仿宋_GB2312" w:hAnsi="仿宋_GB2312" w:cs="仿宋_GB2312" w:eastAsia="仿宋_GB2312"/>
              </w:rPr>
              <w:t>①减少环境污染、项目现场环境防治的措施非常安全得力、合理的，得4-5分（4＜分值≤5）； ②减少环境污染、项目现场环境防治的措施基本安全得力、合理的，得2-3分（2＜分值≤3）； ③减少环境污染、项目现场环境防治的措施一般安全得力、合理的，得0-1分（0＜分值≤1）； ④措施不合理、不可行或未提供的，得0分。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投标企业业绩 (9.0分)</w:t>
            </w:r>
          </w:p>
        </w:tc>
        <w:tc>
          <w:tcPr>
            <w:tcW w:type="dxa" w:w="3115"/>
          </w:tcPr>
          <w:p>
            <w:pPr>
              <w:pStyle w:val="null5"/>
              <w:jc w:val="left"/>
            </w:pPr>
            <w:r>
              <w:rPr>
                <w:rFonts w:ascii="仿宋_GB2312" w:hAnsi="仿宋_GB2312" w:cs="仿宋_GB2312" w:eastAsia="仿宋_GB2312"/>
              </w:rPr>
              <w:t>供应商近三年（指2022年01月01日起至今）承担过类似本工程的项目，有一份得3分，最多得9分。 注：1.属于政府财政投资项目，业绩须具备中标通知书和施工合同及竣工验收报告（三项缺一不可）； 2.属于非政府投资项目，业绩须具备施工合同和竣工验收报告（两项缺一不可）； 3.业绩时间以竣工验收报告时间为准。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管理体系认证 (6.0分)</w:t>
            </w:r>
          </w:p>
        </w:tc>
        <w:tc>
          <w:tcPr>
            <w:tcW w:type="dxa" w:w="3115"/>
          </w:tcPr>
          <w:p>
            <w:pPr>
              <w:pStyle w:val="null5"/>
              <w:jc w:val="left"/>
            </w:pPr>
            <w:r>
              <w:rPr>
                <w:rFonts w:ascii="仿宋_GB2312" w:hAnsi="仿宋_GB2312" w:cs="仿宋_GB2312" w:eastAsia="仿宋_GB2312"/>
              </w:rPr>
              <w:t>1.供应商具备质量管理体系认证证书且证书在有效期内得2分，不提供不得分； 2.供应商具备环境管理体系认证证书且证书在有效期内得2分，不提供不得分； 3.供应商具备职业健康安全管理体系认证证书齐全且证书在有效期内得2分，不提供不得分； 注：供应商须提供证书复印件，复印件须清晰，提供不全或证件不清晰的不得分。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监理大纲的内容完整性和编制水平（20.0分）</w:t>
            </w:r>
          </w:p>
        </w:tc>
        <w:tc>
          <w:tcPr>
            <w:tcW w:type="dxa" w:w="3115"/>
          </w:tcPr>
          <w:p>
            <w:pPr>
              <w:pStyle w:val="null5"/>
              <w:jc w:val="left"/>
            </w:pPr>
            <w:r>
              <w:rPr>
                <w:rFonts w:ascii="仿宋_GB2312" w:hAnsi="仿宋_GB2312" w:cs="仿宋_GB2312" w:eastAsia="仿宋_GB2312"/>
              </w:rPr>
              <w:t>按照招标书要求内容全面的进行了阐述，对本工程的各分项工程，从准备、实施、竣工到保修的每一道工序都能较详尽的阐述监理工作计划采取的手段、方法、措施和作用。 一般情况的得1-6分；较好的得13-7分；细致详尽的得14-20分。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监理大纲与技术措施（10.0分）</w:t>
            </w:r>
          </w:p>
        </w:tc>
        <w:tc>
          <w:tcPr>
            <w:tcW w:type="dxa" w:w="3115"/>
          </w:tcPr>
          <w:p>
            <w:pPr>
              <w:pStyle w:val="null5"/>
              <w:jc w:val="left"/>
            </w:pPr>
            <w:r>
              <w:rPr>
                <w:rFonts w:ascii="仿宋_GB2312" w:hAnsi="仿宋_GB2312" w:cs="仿宋_GB2312" w:eastAsia="仿宋_GB2312"/>
              </w:rPr>
              <w:t>监理大纲合理可行，技术措施对工程质量、工期和施工安全有充分保障的得7-10分；监理大纲可行，技术措施对工程质量、工期和施工安全有保障的得4-6分；监理大纲基本可行，技术措施对工程质量、工期和施工安全有一定保障的得1-3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质量控制的保证措施手段是否科学、可靠（5.0分）</w:t>
            </w:r>
          </w:p>
        </w:tc>
        <w:tc>
          <w:tcPr>
            <w:tcW w:type="dxa" w:w="3115"/>
          </w:tcPr>
          <w:p>
            <w:pPr>
              <w:pStyle w:val="null5"/>
              <w:jc w:val="left"/>
            </w:pPr>
            <w:r>
              <w:rPr>
                <w:rFonts w:ascii="仿宋_GB2312" w:hAnsi="仿宋_GB2312" w:cs="仿宋_GB2312" w:eastAsia="仿宋_GB2312"/>
              </w:rPr>
              <w:t>对各分项工程，从准备、实施、竣工到项目的保修阶段的每一道工序，监理所采取的质量控制措施、方法。质量控制计划与实际质量产生较大差距时，从措施的可行和效果上进行分析、评分。 一般情况的得1分；较好的得2-3分；细致详尽的得4-5分。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现场安全、文明施工的管理措施是否全面（5.0分）</w:t>
            </w:r>
          </w:p>
        </w:tc>
        <w:tc>
          <w:tcPr>
            <w:tcW w:type="dxa" w:w="3115"/>
          </w:tcPr>
          <w:p>
            <w:pPr>
              <w:pStyle w:val="null5"/>
              <w:jc w:val="left"/>
            </w:pPr>
            <w:r>
              <w:rPr>
                <w:rFonts w:ascii="仿宋_GB2312" w:hAnsi="仿宋_GB2312" w:cs="仿宋_GB2312" w:eastAsia="仿宋_GB2312"/>
              </w:rPr>
              <w:t>对安全生产目标明确程度、工程制度健全性、安全生产监督责任明确程度、任务分解合理性、控制方法及措施可行性、对工程环境及工程特点分析全面程度、难点防范及化解安全事故发生措施的可行性进行评审。一般情况的得1分；较好的得2-3分；细致详尽的得4-5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施工进度控制手段是否细致详尽（5.0分）</w:t>
            </w:r>
          </w:p>
        </w:tc>
        <w:tc>
          <w:tcPr>
            <w:tcW w:type="dxa" w:w="3115"/>
          </w:tcPr>
          <w:p>
            <w:pPr>
              <w:pStyle w:val="null5"/>
              <w:jc w:val="left"/>
            </w:pPr>
            <w:r>
              <w:rPr>
                <w:rFonts w:ascii="仿宋_GB2312" w:hAnsi="仿宋_GB2312" w:cs="仿宋_GB2312" w:eastAsia="仿宋_GB2312"/>
              </w:rPr>
              <w:t>对各分项工程，从准备、实施、竣工到项目的保修阶段的每一道工序，监理所采取的进度控制措施、方法。进度控制计划与实际进度产生较大差距时，从措施的可行和效果上进行分析、评分。 一般情况的得1分；较好的得2-3分；细致详尽的得4-5分。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检测仪器和工具（现场技术装备）是否能满足工程要求（5.0分）</w:t>
            </w:r>
          </w:p>
        </w:tc>
        <w:tc>
          <w:tcPr>
            <w:tcW w:type="dxa" w:w="3115"/>
          </w:tcPr>
          <w:p>
            <w:pPr>
              <w:pStyle w:val="null5"/>
              <w:jc w:val="left"/>
            </w:pPr>
            <w:r>
              <w:rPr>
                <w:rFonts w:ascii="仿宋_GB2312" w:hAnsi="仿宋_GB2312" w:cs="仿宋_GB2312" w:eastAsia="仿宋_GB2312"/>
              </w:rPr>
              <w:t>根据所提供的工程检测仪器和工具的完整性，只有常规检测仪器和工具的得1分；有常规检测仪器和工具且有全站仪的得2分；有常规检测仪器和工具且有全站仪和照相机的得3分；有常规检测仪器和工具且有GPS定位仪、全站仪和照相机的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投资控制方法是否合理、可行（5.0分）</w:t>
            </w:r>
          </w:p>
        </w:tc>
        <w:tc>
          <w:tcPr>
            <w:tcW w:type="dxa" w:w="3115"/>
          </w:tcPr>
          <w:p>
            <w:pPr>
              <w:pStyle w:val="null5"/>
              <w:jc w:val="left"/>
            </w:pPr>
            <w:r>
              <w:rPr>
                <w:rFonts w:ascii="仿宋_GB2312" w:hAnsi="仿宋_GB2312" w:cs="仿宋_GB2312" w:eastAsia="仿宋_GB2312"/>
              </w:rPr>
              <w:t>对投资控制目标明确程度、工程造价目标风险分析全面性、投资控制方法及措施合理可行性进行评审。一般情况的得1分；较好的得2-3分；细致详尽的得4-5分。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对工程施工的难点、要点和关键部分是否阐明及监理实施意见的可行性（5.0分）</w:t>
            </w:r>
          </w:p>
        </w:tc>
        <w:tc>
          <w:tcPr>
            <w:tcW w:type="dxa" w:w="3115"/>
          </w:tcPr>
          <w:p>
            <w:pPr>
              <w:pStyle w:val="null5"/>
              <w:jc w:val="left"/>
            </w:pPr>
            <w:r>
              <w:rPr>
                <w:rFonts w:ascii="仿宋_GB2312" w:hAnsi="仿宋_GB2312" w:cs="仿宋_GB2312" w:eastAsia="仿宋_GB2312"/>
              </w:rPr>
              <w:t>工程监理的重点、难点，对本工程监理重点、难点有明确分析，对监理的重点、难点有明确的处理方法和监理实施意见，本项内容完整全面、措施非常合理可行、制度非常健全的得5-4分；内容较为全面、措施较为合理可行、制度较为健全的得3-2分；内容基本全面、措施基本合理可行、制度基本健全的得1分；未提供的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投标企业业绩（4.0分）</w:t>
            </w:r>
          </w:p>
        </w:tc>
        <w:tc>
          <w:tcPr>
            <w:tcW w:type="dxa" w:w="3115"/>
          </w:tcPr>
          <w:p>
            <w:pPr>
              <w:pStyle w:val="null5"/>
              <w:jc w:val="left"/>
            </w:pPr>
            <w:r>
              <w:rPr>
                <w:rFonts w:ascii="仿宋_GB2312" w:hAnsi="仿宋_GB2312" w:cs="仿宋_GB2312" w:eastAsia="仿宋_GB2312"/>
              </w:rPr>
              <w:t>近3年（2022年至今）内完成的类似本工程项目业绩，投标人提供类似项目业绩一份加2分，最多4分，没有不得分。 (同类工程的界定:造林种草、生态修复类绿化工程等:投标文件中须附合同主要页:业绩认定时间以以合同签订日期为准)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人员配备 (6.0分)</w:t>
            </w:r>
          </w:p>
        </w:tc>
        <w:tc>
          <w:tcPr>
            <w:tcW w:type="dxa" w:w="3115"/>
          </w:tcPr>
          <w:p>
            <w:pPr>
              <w:pStyle w:val="null5"/>
              <w:jc w:val="left"/>
            </w:pPr>
            <w:r>
              <w:rPr>
                <w:rFonts w:ascii="仿宋_GB2312" w:hAnsi="仿宋_GB2312" w:cs="仿宋_GB2312" w:eastAsia="仿宋_GB2312"/>
              </w:rPr>
              <w:t>总监理工程师应具有注册市政工程专业的监理工程师（需提供注册执业证书、身份证、2024年任意1个月养老保险），总监理工程师2022年1月1日至今监理过的同类工程(同类工程的界定:造林种草、生态修复类绿化工程等:投标文件中须附合同主要页:业绩认定时间以以合同签订日期为准)；每提供一项加1分最多加3分。 专业监理工程师有林业或草原专业的中级职称证人员，每有一个加1分最多加3分，【须提供职称证、身份证、2024年任意1个月养老保险】 注:1.养老保险缴纳信息按以下任意一种方式提交均认可:如投标人所在地区已实行网上查询，提供可在人社部门网站上查询的缴纳养老保险相关信息，并同时提供现场管理人员查询信息的用户名及密码或验证码或二维码；2.如投标人所在地区未实行社保信息网上查询，可提供加盖社保机构公章的养老保险缴纳个人明细或对账单。3.如为退休人员提供退休证明材料和劳动合同。</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