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莫旗中等职业技术学校曲棍球室内训练馆及运动员公寓项目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询价通知书</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莫力达瓦达斡尔族自治旗中等职业技术学校</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莫力达瓦达斡尔族自治旗公共资源交易中心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HZCMQ-X-H-250005</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询价邀请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询价邀请</w:t>
      </w:r>
    </w:p>
    <w:p>
      <w:pPr>
        <w:pStyle w:val="null5"/>
        <w:ind w:firstLine="480"/>
        <w:jc w:val="left"/>
      </w:pPr>
      <w:r>
        <w:rPr>
          <w:rFonts w:ascii="仿宋_GB2312" w:hAnsi="仿宋_GB2312" w:cs="仿宋_GB2312" w:eastAsia="仿宋_GB2312"/>
        </w:rPr>
        <w:t>莫力达瓦达斡尔族自治旗公共资源交易中心</w:t>
      </w:r>
      <w:r>
        <w:rPr>
          <w:rFonts w:ascii="仿宋_GB2312" w:hAnsi="仿宋_GB2312" w:cs="仿宋_GB2312" w:eastAsia="仿宋_GB2312"/>
        </w:rPr>
        <w:t xml:space="preserve"> 受 </w:t>
      </w:r>
      <w:r>
        <w:rPr>
          <w:rFonts w:ascii="仿宋_GB2312" w:hAnsi="仿宋_GB2312" w:cs="仿宋_GB2312" w:eastAsia="仿宋_GB2312"/>
        </w:rPr>
        <w:t>莫力达瓦达斡尔族自治旗中等职业技术学校</w:t>
      </w:r>
      <w:r>
        <w:rPr>
          <w:rFonts w:ascii="仿宋_GB2312" w:hAnsi="仿宋_GB2312" w:cs="仿宋_GB2312" w:eastAsia="仿宋_GB2312"/>
        </w:rPr>
        <w:t xml:space="preserve"> 委托，采用询价方式组织采购 </w:t>
      </w:r>
      <w:r>
        <w:rPr>
          <w:rFonts w:ascii="仿宋_GB2312" w:hAnsi="仿宋_GB2312" w:cs="仿宋_GB2312" w:eastAsia="仿宋_GB2312"/>
        </w:rPr>
        <w:t>莫旗中等职业技术学校曲棍球室内训练馆及运动员公寓项目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莫旗中等职业技术学校曲棍球室内训练馆及运动员公寓项目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HZCMQ-X-H-250005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莫政采计划[2025]00057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937,680.00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曲棍球室内训练馆及运动员公寓项目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937,680.00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三.获取询价通知书的时间、地点、方式</w:t>
      </w:r>
    </w:p>
    <w:p>
      <w:pPr>
        <w:pStyle w:val="null5"/>
        <w:ind w:firstLine="480"/>
        <w:jc w:val="left"/>
      </w:pPr>
      <w:r>
        <w:rPr>
          <w:rFonts w:ascii="仿宋_GB2312" w:hAnsi="仿宋_GB2312" w:cs="仿宋_GB2312" w:eastAsia="仿宋_GB2312"/>
        </w:rPr>
        <w:t>详见询价公告；</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四.询价通知书售价</w:t>
      </w:r>
    </w:p>
    <w:p>
      <w:pPr>
        <w:pStyle w:val="null5"/>
        <w:ind w:firstLine="480"/>
        <w:jc w:val="left"/>
      </w:pPr>
      <w:r>
        <w:rPr>
          <w:rFonts w:ascii="仿宋_GB2312" w:hAnsi="仿宋_GB2312" w:cs="仿宋_GB2312" w:eastAsia="仿宋_GB2312"/>
        </w:rPr>
        <w:t>本次询价通知书的售价为0元人民币。</w:t>
      </w:r>
    </w:p>
    <w:p>
      <w:pPr>
        <w:pStyle w:val="null5"/>
        <w:jc w:val="left"/>
        <w:outlineLvl w:val="2"/>
      </w:pPr>
      <w:r>
        <w:rPr>
          <w:rFonts w:ascii="仿宋_GB2312" w:hAnsi="仿宋_GB2312" w:cs="仿宋_GB2312" w:eastAsia="仿宋_GB2312"/>
          <w:sz w:val="28"/>
          <w:b/>
        </w:rPr>
        <w:t>五.响应文件提交的截止时间、开启时间及地点</w:t>
      </w:r>
    </w:p>
    <w:p>
      <w:pPr>
        <w:pStyle w:val="null5"/>
        <w:ind w:firstLine="480"/>
        <w:jc w:val="left"/>
      </w:pPr>
      <w:r>
        <w:rPr>
          <w:rFonts w:ascii="仿宋_GB2312" w:hAnsi="仿宋_GB2312" w:cs="仿宋_GB2312" w:eastAsia="仿宋_GB2312"/>
        </w:rPr>
        <w:t>详见询价公告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莫力达瓦达斡尔族自治旗公共资源交易中心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内蒙古自治区呼伦贝尔市莫力达瓦达斡尔族自治旗莫力达瓦达斡尔族自治旗党政大楼5号楼3楼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162850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莫旗公共资源交易中心</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3978094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莫力达瓦达斡尔族自治旗中等职业技术学校</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莫力达瓦达斡尔族自治旗尼尔基镇诺敏南路</w:t>
      </w:r>
    </w:p>
    <w:p>
      <w:pPr>
        <w:pStyle w:val="null5"/>
      </w:pPr>
      <w:r>
        <w:rPr>
          <w:rFonts w:ascii="仿宋_GB2312" w:hAnsi="仿宋_GB2312" w:cs="仿宋_GB2312" w:eastAsia="仿宋_GB2312"/>
        </w:rPr>
        <w:t xml:space="preserve"> 邮编： </w:t>
      </w:r>
      <w:r>
        <w:rPr>
          <w:rFonts w:ascii="仿宋_GB2312" w:hAnsi="仿宋_GB2312" w:cs="仿宋_GB2312" w:eastAsia="仿宋_GB2312"/>
        </w:rPr>
        <w:t>162850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陈若飞</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18147007720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ind w:firstLine="480"/>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0"/>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0"/>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0"/>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0"/>
          </w:tcPr>
          <w:p>
            <w:pPr>
              <w:pStyle w:val="null5"/>
              <w:jc w:val="left"/>
            </w:pPr>
            <w:r>
              <w:rPr>
                <w:rFonts w:ascii="仿宋_GB2312" w:hAnsi="仿宋_GB2312" w:cs="仿宋_GB2312" w:eastAsia="仿宋_GB2312"/>
              </w:rPr>
              <w:t>询价</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评标方式</w:t>
            </w:r>
          </w:p>
        </w:tc>
        <w:tc>
          <w:tcPr>
            <w:tcW w:type="dxa" w:w="0"/>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开启方式</w:t>
            </w:r>
          </w:p>
        </w:tc>
        <w:tc>
          <w:tcPr>
            <w:tcW w:type="dxa" w:w="0"/>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评标方法</w:t>
            </w:r>
          </w:p>
        </w:tc>
        <w:tc>
          <w:tcPr>
            <w:tcW w:type="dxa" w:w="0"/>
          </w:tcPr>
          <w:p>
            <w:pPr>
              <w:pStyle w:val="null5"/>
              <w:jc w:val="left"/>
            </w:pPr>
            <w:r>
              <w:rPr>
                <w:rFonts w:ascii="仿宋_GB2312" w:hAnsi="仿宋_GB2312" w:cs="仿宋_GB2312" w:eastAsia="仿宋_GB2312"/>
              </w:rPr>
              <w:t>采购包1：最低评标价法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获取询价通知书时间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0"/>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0"/>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中标人确定</w:t>
            </w:r>
          </w:p>
        </w:tc>
        <w:tc>
          <w:tcPr>
            <w:tcW w:type="dxa" w:w="0"/>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0"/>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0"/>
          </w:tcPr>
          <w:p>
            <w:pPr>
              <w:pStyle w:val="null5"/>
              <w:jc w:val="left"/>
            </w:pPr>
            <w:r>
              <w:rPr>
                <w:rFonts w:ascii="仿宋_GB2312" w:hAnsi="仿宋_GB2312" w:cs="仿宋_GB2312" w:eastAsia="仿宋_GB2312"/>
              </w:rPr>
              <w:t>本项目不收取代理服务费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兼投不兼中规则</w:t>
            </w:r>
          </w:p>
        </w:tc>
        <w:tc>
          <w:tcPr>
            <w:tcW w:type="dxa" w:w="0"/>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投标保证金</w:t>
            </w:r>
          </w:p>
        </w:tc>
        <w:tc>
          <w:tcPr>
            <w:tcW w:type="dxa" w:w="0"/>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电子投标文件</w:t>
            </w:r>
          </w:p>
        </w:tc>
        <w:tc>
          <w:tcPr>
            <w:tcW w:type="dxa" w:w="0"/>
          </w:tcPr>
          <w:p>
            <w:pPr>
              <w:pStyle w:val="null5"/>
              <w:jc w:val="left"/>
            </w:pPr>
            <w:r>
              <w:rPr>
                <w:rFonts w:ascii="仿宋_GB2312" w:hAnsi="仿宋_GB2312" w:cs="仿宋_GB2312" w:eastAsia="仿宋_GB2312"/>
              </w:rPr>
              <w:t>应按照第七章“投标文件格式与要求”，使用单位电子签章（CA）进行签字、加盖公章。</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签字、盖章要求</w:t>
            </w:r>
          </w:p>
        </w:tc>
        <w:tc>
          <w:tcPr>
            <w:tcW w:type="dxa" w:w="0"/>
          </w:tcPr>
          <w:p>
            <w:pPr>
              <w:pStyle w:val="null5"/>
              <w:jc w:val="left"/>
            </w:pPr>
            <w:r>
              <w:rPr>
                <w:rFonts w:ascii="仿宋_GB2312" w:hAnsi="仿宋_GB2312" w:cs="仿宋_GB2312" w:eastAsia="仿宋_GB2312"/>
              </w:rPr>
              <w:t>说明：若涉及到授权代表签字的可将文件签字页先进行签字、扫描后导入加密电子投标文件。</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投标客户端</w:t>
            </w:r>
          </w:p>
        </w:tc>
        <w:tc>
          <w:tcPr>
            <w:tcW w:type="dxa" w:w="0"/>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面向中小企业采购</w:t>
            </w:r>
          </w:p>
        </w:tc>
        <w:tc>
          <w:tcPr>
            <w:tcW w:type="dxa" w:w="0"/>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属于专门面向小微企业采购，预留比例为100%。</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有效投标人家数</w:t>
            </w:r>
          </w:p>
        </w:tc>
        <w:tc>
          <w:tcPr>
            <w:tcW w:type="dxa" w:w="0"/>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中标供应商数量</w:t>
            </w:r>
          </w:p>
        </w:tc>
        <w:tc>
          <w:tcPr>
            <w:tcW w:type="dxa" w:w="0"/>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中标候选供应商数量</w:t>
            </w:r>
          </w:p>
        </w:tc>
        <w:tc>
          <w:tcPr>
            <w:tcW w:type="dxa" w:w="0"/>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现场踏勘</w:t>
            </w:r>
          </w:p>
        </w:tc>
        <w:tc>
          <w:tcPr>
            <w:tcW w:type="dxa" w:w="0"/>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23</w:t>
            </w:r>
          </w:p>
        </w:tc>
        <w:tc>
          <w:tcPr>
            <w:tcW w:type="dxa" w:w="2623"/>
          </w:tcPr>
          <w:p>
            <w:pPr>
              <w:pStyle w:val="null5"/>
              <w:jc w:val="left"/>
            </w:pPr>
            <w:r>
              <w:rPr>
                <w:rFonts w:ascii="仿宋_GB2312" w:hAnsi="仿宋_GB2312" w:cs="仿宋_GB2312" w:eastAsia="仿宋_GB2312"/>
              </w:rPr>
              <w:t>报价形式</w:t>
            </w:r>
          </w:p>
        </w:tc>
        <w:tc>
          <w:tcPr>
            <w:tcW w:type="dxa" w:w="0"/>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24</w:t>
            </w:r>
          </w:p>
        </w:tc>
        <w:tc>
          <w:tcPr>
            <w:tcW w:type="dxa" w:w="2623"/>
          </w:tcPr>
          <w:p>
            <w:pPr>
              <w:pStyle w:val="null5"/>
              <w:jc w:val="left"/>
            </w:pPr>
            <w:r>
              <w:rPr>
                <w:rFonts w:ascii="仿宋_GB2312" w:hAnsi="仿宋_GB2312" w:cs="仿宋_GB2312" w:eastAsia="仿宋_GB2312"/>
              </w:rPr>
              <w:t>其他</w:t>
            </w:r>
          </w:p>
        </w:tc>
        <w:tc>
          <w:tcPr>
            <w:tcW w:type="dxa" w:w="0"/>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二.询价须知</w:t>
      </w:r>
    </w:p>
    <w:p>
      <w:pPr>
        <w:pStyle w:val="null5"/>
        <w:ind w:firstLine="480"/>
        <w:jc w:val="left"/>
      </w:pPr>
      <w:r>
        <w:rPr>
          <w:rFonts w:ascii="仿宋_GB2312" w:hAnsi="仿宋_GB2312" w:cs="仿宋_GB2312" w:eastAsia="仿宋_GB2312"/>
        </w:rPr>
        <w:t>1.询价采取网上响应方式，操作流程如下：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询价通知书，并按照询价通知书的要求制作、上传电子响应文件。</w:t>
      </w:r>
    </w:p>
    <w:p>
      <w:pPr>
        <w:pStyle w:val="null5"/>
        <w:ind w:firstLine="480"/>
        <w:jc w:val="left"/>
      </w:pPr>
      <w:r>
        <w:rPr>
          <w:rFonts w:ascii="仿宋_GB2312" w:hAnsi="仿宋_GB2312" w:cs="仿宋_GB2312" w:eastAsia="仿宋_GB2312"/>
        </w:rPr>
        <w:t>2.保证金</w:t>
      </w:r>
    </w:p>
    <w:p>
      <w:pPr>
        <w:pStyle w:val="null5"/>
        <w:ind w:firstLine="480"/>
        <w:jc w:val="left"/>
      </w:pPr>
      <w:r>
        <w:rPr>
          <w:rFonts w:ascii="仿宋_GB2312" w:hAnsi="仿宋_GB2312" w:cs="仿宋_GB2312" w:eastAsia="仿宋_GB2312"/>
        </w:rPr>
        <w:t>2.1保证金缴纳（如需缴纳保证金）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保证金足额汇入以上账户，并自行承担因汇错保证金而产生的一切后果。供应商在转账或电汇的凭证上应按照“项目编号：***、采购包：***的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2.1.3供应商选择以支票、汇票、本票、保函等非现金形式缴纳保证金的，供应商将相关证明材料原件扫描添加至响应文件中，同时在开启时提供证明材料。</w:t>
      </w:r>
    </w:p>
    <w:p>
      <w:pPr>
        <w:pStyle w:val="null5"/>
        <w:ind w:firstLine="480"/>
        <w:jc w:val="left"/>
      </w:pPr>
      <w:r>
        <w:rPr>
          <w:rFonts w:ascii="仿宋_GB2312" w:hAnsi="仿宋_GB2312" w:cs="仿宋_GB2312" w:eastAsia="仿宋_GB2312"/>
        </w:rPr>
        <w:t>2.1.4缴纳保证金时间以保证金到账时间为准，由于保证金到账需要一定时间，请供应商在响应文件开启时间前及早缴纳。</w:t>
      </w:r>
    </w:p>
    <w:p>
      <w:pPr>
        <w:pStyle w:val="null5"/>
        <w:ind w:firstLine="480"/>
        <w:jc w:val="left"/>
      </w:pPr>
      <w:r>
        <w:rPr>
          <w:rFonts w:ascii="仿宋_GB2312" w:hAnsi="仿宋_GB2312" w:cs="仿宋_GB2312" w:eastAsia="仿宋_GB2312"/>
        </w:rPr>
        <w:t>2.2保证金的退还</w:t>
      </w:r>
    </w:p>
    <w:p>
      <w:pPr>
        <w:pStyle w:val="null5"/>
        <w:ind w:firstLine="480"/>
        <w:jc w:val="left"/>
      </w:pPr>
      <w:r>
        <w:rPr>
          <w:rFonts w:ascii="仿宋_GB2312" w:hAnsi="仿宋_GB2312" w:cs="仿宋_GB2312" w:eastAsia="仿宋_GB2312"/>
        </w:rPr>
        <w:t>2.2.1未成交供应商的保证金应当在成交通知书发出后5个工作日内退还，成交供应商的保证金应当在采购合同签订后5个工作日内退还。因供应商自身原因导致无法及时退还的除外。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2.2.2有下列情形之一的，保证金将不予退还：</w:t>
      </w:r>
    </w:p>
    <w:p>
      <w:pPr>
        <w:pStyle w:val="null5"/>
        <w:ind w:firstLine="480"/>
        <w:jc w:val="both"/>
      </w:pPr>
      <w:r>
        <w:rPr>
          <w:rFonts w:ascii="仿宋_GB2312" w:hAnsi="仿宋_GB2312" w:cs="仿宋_GB2312" w:eastAsia="仿宋_GB2312"/>
        </w:rPr>
        <w:t>（1）供应商在提交响应文件截止时间后撤回响应文件的；</w:t>
      </w:r>
    </w:p>
    <w:p>
      <w:pPr>
        <w:pStyle w:val="null5"/>
        <w:ind w:firstLine="480"/>
        <w:jc w:val="both"/>
      </w:pPr>
      <w:r>
        <w:rPr>
          <w:rFonts w:ascii="仿宋_GB2312" w:hAnsi="仿宋_GB2312" w:cs="仿宋_GB2312" w:eastAsia="仿宋_GB2312"/>
        </w:rPr>
        <w:t>（2）供应商在响应文件中提供虚假材料的；</w:t>
      </w:r>
    </w:p>
    <w:p>
      <w:pPr>
        <w:pStyle w:val="null5"/>
        <w:ind w:firstLine="480"/>
        <w:jc w:val="both"/>
      </w:pPr>
      <w:r>
        <w:rPr>
          <w:rFonts w:ascii="仿宋_GB2312" w:hAnsi="仿宋_GB2312" w:cs="仿宋_GB2312" w:eastAsia="仿宋_GB2312"/>
        </w:rPr>
        <w:t>（3）除因不可抗力或询价通知书认可的情形以外，成交供应商不与采购人签订合同的；</w:t>
      </w:r>
    </w:p>
    <w:p>
      <w:pPr>
        <w:pStyle w:val="null5"/>
        <w:ind w:firstLine="480"/>
        <w:jc w:val="both"/>
      </w:pPr>
      <w:r>
        <w:rPr>
          <w:rFonts w:ascii="仿宋_GB2312" w:hAnsi="仿宋_GB2312" w:cs="仿宋_GB2312" w:eastAsia="仿宋_GB2312"/>
        </w:rPr>
        <w:t>（4）供应商与采购人、其他供应商或者采购代理机构恶意串通的；</w:t>
      </w:r>
    </w:p>
    <w:p>
      <w:pPr>
        <w:pStyle w:val="null5"/>
        <w:ind w:firstLine="480"/>
        <w:jc w:val="both"/>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both"/>
      </w:pPr>
      <w:r>
        <w:rPr>
          <w:rFonts w:ascii="仿宋_GB2312" w:hAnsi="仿宋_GB2312" w:cs="仿宋_GB2312" w:eastAsia="仿宋_GB2312"/>
        </w:rPr>
        <w:t>各供应商应当在内蒙古自治区政府采购云平台开展与本项目有关的政府采购活动。</w:t>
      </w:r>
    </w:p>
    <w:p>
      <w:pPr>
        <w:pStyle w:val="null5"/>
        <w:ind w:firstLine="480"/>
        <w:jc w:val="both"/>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both"/>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both"/>
      </w:pPr>
      <w:r>
        <w:rPr>
          <w:rFonts w:ascii="仿宋_GB2312" w:hAnsi="仿宋_GB2312" w:cs="仿宋_GB2312" w:eastAsia="仿宋_GB2312"/>
        </w:rPr>
        <w:t>3.1远程不见面方式（供应商无需到现场）</w:t>
      </w:r>
    </w:p>
    <w:p>
      <w:pPr>
        <w:pStyle w:val="null5"/>
        <w:ind w:firstLine="480"/>
        <w:jc w:val="both"/>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both"/>
      </w:pPr>
      <w:r>
        <w:rPr>
          <w:rFonts w:ascii="仿宋_GB2312" w:hAnsi="仿宋_GB2312" w:cs="仿宋_GB2312" w:eastAsia="仿宋_GB2312"/>
        </w:rPr>
        <w:t>供应商的法定代表人或其授权代表应当按照本项目询价公告载明的时间等要求参加询价，在响应文件开启时间前30分钟，应当提前登录电子交易系统确认联系人姓名与联系电话。</w:t>
      </w:r>
    </w:p>
    <w:p>
      <w:pPr>
        <w:pStyle w:val="null5"/>
        <w:ind w:firstLine="480"/>
        <w:jc w:val="both"/>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（1）供应商未在规定时间内完成电子响应文件在线解密的；</w:t>
      </w:r>
    </w:p>
    <w:p>
      <w:pPr>
        <w:pStyle w:val="null5"/>
        <w:ind w:firstLine="480"/>
        <w:jc w:val="both"/>
      </w:pPr>
      <w:r>
        <w:rPr>
          <w:rFonts w:ascii="仿宋_GB2312" w:hAnsi="仿宋_GB2312" w:cs="仿宋_GB2312" w:eastAsia="仿宋_GB2312"/>
        </w:rPr>
        <w:t>（2）CA证书无法解密响应文件的；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both"/>
      </w:pPr>
      <w:r>
        <w:rPr>
          <w:rFonts w:ascii="仿宋_GB2312" w:hAnsi="仿宋_GB2312" w:cs="仿宋_GB2312" w:eastAsia="仿宋_GB2312"/>
        </w:rPr>
        <w:t>3.2现场网上方式（供应商需到现场）</w:t>
      </w:r>
    </w:p>
    <w:p>
      <w:pPr>
        <w:pStyle w:val="null5"/>
        <w:ind w:firstLine="480"/>
        <w:jc w:val="both"/>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both"/>
      </w:pPr>
      <w:r>
        <w:rPr>
          <w:rFonts w:ascii="仿宋_GB2312" w:hAnsi="仿宋_GB2312" w:cs="仿宋_GB2312" w:eastAsia="仿宋_GB2312"/>
        </w:rPr>
        <w:t>供应商的法定代表人或其授权代表应当按照本项目询价公告载明的时间和地点参加询价。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（1）CA证书无法解密响应文件的；</w:t>
      </w:r>
    </w:p>
    <w:p>
      <w:pPr>
        <w:pStyle w:val="null5"/>
        <w:ind w:firstLine="480"/>
        <w:jc w:val="both"/>
      </w:pPr>
      <w:r>
        <w:rPr>
          <w:rFonts w:ascii="仿宋_GB2312" w:hAnsi="仿宋_GB2312" w:cs="仿宋_GB2312" w:eastAsia="仿宋_GB2312"/>
        </w:rPr>
        <w:t>（2）供应商未按询价通知书要求提供“备用标书”的；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本询价通知书依据《中华人民共和国政府采购法》《中华人民共和国政府采购法实施条例》和《政府采购非招标采购方式管理办法》（财政部令第74号）及国家和自治区有关法律、法规、规章制度编制。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供应商应仔细阅读本项目信息公告及询价通知书的所有内容（包括澄清或者修改），按照询价通知书要求以及格式编制响应文件，并保证其真实性，否则一切后果自负。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本询价通知书仅适用于本次询价公告中所涉及的项目和内容。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供应商应承担所有与准备和参加询价有关的费用。不论询价结果如何，采购人或采购代理机构均无义务和责任承担相关费用。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4.1“采购人”是指依法进行政府采购的国家机关、事业单位、团体组织。本询价通知书的采购人特指 </w:t>
      </w:r>
      <w:r>
        <w:rPr>
          <w:rFonts w:ascii="仿宋_GB2312" w:hAnsi="仿宋_GB2312" w:cs="仿宋_GB2312" w:eastAsia="仿宋_GB2312"/>
        </w:rPr>
        <w:t>莫力达瓦达斡尔族自治旗中等职业技术学校</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4.2“采购代理机构”是指集中采购机构和集中采购机构以外的采购代理机构。本询价通知书的采购代理机构特指 </w:t>
      </w:r>
      <w:r>
        <w:rPr>
          <w:rFonts w:ascii="仿宋_GB2312" w:hAnsi="仿宋_GB2312" w:cs="仿宋_GB2312" w:eastAsia="仿宋_GB2312"/>
        </w:rPr>
        <w:t>莫力达瓦达斡尔族自治旗公共资源交易中心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4.4“询价小组”由采购人代表和评审专家组成。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5.1符合本询价通知书规定的资格要求，并按照要求提供相关证明材料。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四.询价通知书的澄清或者修改</w:t>
      </w:r>
    </w:p>
    <w:p>
      <w:pPr>
        <w:pStyle w:val="null5"/>
        <w:ind w:firstLine="480"/>
        <w:jc w:val="left"/>
      </w:pPr>
      <w:r>
        <w:rPr>
          <w:rFonts w:ascii="仿宋_GB2312" w:hAnsi="仿宋_GB2312" w:cs="仿宋_GB2312" w:eastAsia="仿宋_GB2312"/>
        </w:rPr>
        <w:t>提交响应文件截止之日前，采购人、采购代理机构或者询价小组可以对已发出的询价通知书进行必要的澄清或者修改，澄清或者修改的内容作为询价通知书的组成部分。澄清或者修改的内容可能影响响应文件编制的，采购人、采购代理机构或者询价小组应当在提交响应文件截止之日3个工作日前，在“内蒙古自治区政府采购网”上发布更正公告进行通知，不足3个工作日的，应当顺延提交响应文件截止之日。更正公告的内容为询价通知书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响应文件应按照询价通知书第七章“响应文件格式与要求”进行编写，可以增加附页，并作为响应文件的组成部分。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2.1供应商应按照第三章“采购内容与技术要求”进行报价。报价中不得包含询价通知书要求以外的内容，否则，在评审时不予核减。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2.4参加询价采购活动的供应商，应当按照询价通知书的规定一次报出不得更改的价格。</w:t>
      </w:r>
    </w:p>
    <w:p>
      <w:pPr>
        <w:pStyle w:val="null5"/>
        <w:ind w:firstLine="480"/>
        <w:jc w:val="left"/>
      </w:pPr>
      <w:r>
        <w:rPr>
          <w:rFonts w:ascii="仿宋_GB2312" w:hAnsi="仿宋_GB2312" w:cs="仿宋_GB2312" w:eastAsia="仿宋_GB2312"/>
        </w:rPr>
        <w:t>2.5供应商应在“投标客户端”对【报价部分】进行填写，“投标客户端”将自动根据供应商填写信息在线生成“报价一览表”、“分项报价表”，若在响应文件中出现非系统生成的“报价一览表”、“分项报价表”，且与“投标客户端”生成的“报价一览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5.1询价通知书规定供应商提交样品的，样品属于响应文件的组成部分。样品的生产、运输、安装、保全等一切费用由供应商自理。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5.3采购活动结束后，对于未成交供应商提供的样品，应当及时退还或者经未成交供应商同意后自行处理；对于成交供应商提供的样品，应当按照询价通知书的规定进行保管、封存，并作为履约验收的参考。</w:t>
      </w:r>
    </w:p>
    <w:p>
      <w:pPr>
        <w:pStyle w:val="null5"/>
        <w:jc w:val="left"/>
        <w:outlineLvl w:val="2"/>
      </w:pPr>
      <w:r>
        <w:rPr>
          <w:rFonts w:ascii="仿宋_GB2312" w:hAnsi="仿宋_GB2312" w:cs="仿宋_GB2312" w:eastAsia="仿宋_GB2312"/>
          <w:sz w:val="28"/>
          <w:b/>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（3）供应商对已提交的加密文件进行解密，由采购人或者采购代理机构工作人员宣布供应商名称和询价通知书规定需要宣布的其他内容；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本采购包属于专门面向小微企业采购。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询价邀请）。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ind w:firstLine="480"/>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ind w:firstLine="480"/>
        <w:jc w:val="left"/>
      </w:pPr>
      <w:r>
        <w:rPr>
          <w:rFonts w:ascii="仿宋_GB2312" w:hAnsi="仿宋_GB2312" w:cs="仿宋_GB2312" w:eastAsia="仿宋_GB2312"/>
        </w:rPr>
        <w:t>莫力达瓦达斡尔族自治旗中等职业技术学校曲棍球室内训练馆及运动员公寓项目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自合同签订之日起30日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莫力达瓦达斡尔族自治旗中等职业技术学校，现场交付</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1、签订合同后，达到付款条件起30日，支付合同总金额的50.00%</w:t>
            </w:r>
          </w:p>
          <w:p>
            <w:pPr>
              <w:pStyle w:val="null5"/>
              <w:jc w:val="left"/>
            </w:pPr>
            <w:r>
              <w:rPr>
                <w:rFonts w:ascii="仿宋_GB2312" w:hAnsi="仿宋_GB2312" w:cs="仿宋_GB2312" w:eastAsia="仿宋_GB2312"/>
              </w:rPr>
              <w:t>2、验收合格后，达到付款条件起30日，支付合同总金额的50.00%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标的名称：曲棍球室内训练馆及运动员公寓项目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 xml:space="preserve">1、供应商所投产品必须是全新、原装的标准化产品，所有的设备保留原本包装，封边完好。 2、保证产品为原装正品，不接受改配，验收时通过原厂电话验证是否出厂原装。 3、报价须认真核实附件文件中设备技术参数，供应商需按照系统流程要求在附件中上传满足技术要求的功能性佐证材料，中标后须提供参数表中重要参数证明文件（检测报告、官方授权，所有产品为同一品牌相互兼容。），参数不响应不符合的视为无效报价。提供虚假材料的将提交主管部门追究相应法律责任。 4、为保证设备产品质量，验收参照询价公告、合同及相关法律、法规等文件，验收达不到相应要求的，无条件退换不合格产品，涉及风险由供货商全部承担。验收的标准为：成交供应商所供应商品均须满足产品的详细参数。保修信息必须与采购要求一致，如查验异常，则为验收不合格，甲方有权拒收货物。 5、中标7日内即签订采购合同，在合同签订后7个工作日内所有货物须到达甲方指定地点，运输、安装、调试、培训，达到验收标准。未上传或不能满足交货时间视为无效报价。超出供货日期要求甲方不予接收，且追究供应商法律责任。 6、成交供应商如因缺货断货等理由拒不与采购人签订合同或签订合同后无法按时、按需、按质供货交付的，采购人报相关部门，根据《内蒙古自治区政府采购电子卖场管理办法》等相关法律、法规规定，成交供应商承担一切后果。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供应商应提交证明其有资格参加询价和成交后有能力履行合同的相关文件，并作为其响应文件的一部分，所有文件必须真实可靠、不得伪造，否则将按相关规定予以处罚。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五、按照询价通知书要求，供应商应当提交的其他资格、资信证明文件。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采购人根据符合采购需求、质量和服务相等且报价最低的原则确定成交供应商。</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2.1询价小组成员应当遵循客观、公正、审慎的原则，根据询价通知书规定的评审程序、评审方法和评审标准进行独立评审。</w:t>
      </w:r>
    </w:p>
    <w:p>
      <w:pPr>
        <w:pStyle w:val="null5"/>
        <w:ind w:firstLine="480"/>
        <w:jc w:val="left"/>
      </w:pPr>
      <w:r>
        <w:rPr>
          <w:rFonts w:ascii="仿宋_GB2312" w:hAnsi="仿宋_GB2312" w:cs="仿宋_GB2312" w:eastAsia="仿宋_GB2312"/>
        </w:rPr>
        <w:t>2.2具体评审事项由询价小组负责，并按询价通知书规定的办法进行评审。</w:t>
      </w:r>
    </w:p>
    <w:p>
      <w:pPr>
        <w:pStyle w:val="null5"/>
        <w:ind w:firstLine="480"/>
        <w:jc w:val="left"/>
      </w:pPr>
      <w:r>
        <w:rPr>
          <w:rFonts w:ascii="仿宋_GB2312" w:hAnsi="仿宋_GB2312" w:cs="仿宋_GB2312" w:eastAsia="仿宋_GB2312"/>
        </w:rPr>
        <w:t>3.询价小组</w:t>
      </w:r>
    </w:p>
    <w:p>
      <w:pPr>
        <w:pStyle w:val="null5"/>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其中由评审专家库产生的评审专家2人，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3.1询价小组由采购人代表和评审专家共3人以上单数组成，其中评审专家人数不得少于询价小组成员总数的2/3。</w:t>
      </w:r>
    </w:p>
    <w:p>
      <w:pPr>
        <w:pStyle w:val="null5"/>
        <w:ind w:firstLine="480"/>
        <w:jc w:val="left"/>
      </w:pPr>
      <w:r>
        <w:rPr>
          <w:rFonts w:ascii="仿宋_GB2312" w:hAnsi="仿宋_GB2312" w:cs="仿宋_GB2312" w:eastAsia="仿宋_GB2312"/>
        </w:rPr>
        <w:t>3.2询价小组成员有下列情形之一的，应当回避：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3.3询价小组应当履行下列职责：</w:t>
      </w:r>
    </w:p>
    <w:p>
      <w:pPr>
        <w:pStyle w:val="null5"/>
        <w:ind w:firstLine="480"/>
        <w:jc w:val="left"/>
      </w:pPr>
      <w:r>
        <w:rPr>
          <w:rFonts w:ascii="仿宋_GB2312" w:hAnsi="仿宋_GB2312" w:cs="仿宋_GB2312" w:eastAsia="仿宋_GB2312"/>
        </w:rPr>
        <w:t>（1）确认或者制定询价通知书；</w:t>
      </w:r>
    </w:p>
    <w:p>
      <w:pPr>
        <w:pStyle w:val="null5"/>
        <w:ind w:firstLine="480"/>
        <w:jc w:val="left"/>
      </w:pPr>
      <w:r>
        <w:rPr>
          <w:rFonts w:ascii="仿宋_GB2312" w:hAnsi="仿宋_GB2312" w:cs="仿宋_GB2312" w:eastAsia="仿宋_GB2312"/>
        </w:rPr>
        <w:t>（2）从符合相应资格条件的供应商名单中确定不少于3家的供应商参加询价；</w:t>
      </w:r>
    </w:p>
    <w:p>
      <w:pPr>
        <w:pStyle w:val="null5"/>
        <w:ind w:firstLine="480"/>
        <w:jc w:val="left"/>
      </w:pPr>
      <w:r>
        <w:rPr>
          <w:rFonts w:ascii="仿宋_GB2312" w:hAnsi="仿宋_GB2312" w:cs="仿宋_GB2312" w:eastAsia="仿宋_GB2312"/>
        </w:rPr>
        <w:t>（3）审查供应商的响应文件并作出评价；</w:t>
      </w:r>
    </w:p>
    <w:p>
      <w:pPr>
        <w:pStyle w:val="null5"/>
        <w:ind w:firstLine="480"/>
        <w:jc w:val="left"/>
      </w:pPr>
      <w:r>
        <w:rPr>
          <w:rFonts w:ascii="仿宋_GB2312" w:hAnsi="仿宋_GB2312" w:cs="仿宋_GB2312" w:eastAsia="仿宋_GB2312"/>
        </w:rPr>
        <w:t>（4）要求供应商解释或者澄清其响应文件；</w:t>
      </w:r>
    </w:p>
    <w:p>
      <w:pPr>
        <w:pStyle w:val="null5"/>
        <w:ind w:firstLine="480"/>
        <w:jc w:val="left"/>
      </w:pPr>
      <w:r>
        <w:rPr>
          <w:rFonts w:ascii="仿宋_GB2312" w:hAnsi="仿宋_GB2312" w:cs="仿宋_GB2312" w:eastAsia="仿宋_GB2312"/>
        </w:rPr>
        <w:t>（5）编写评审报告；</w:t>
      </w:r>
    </w:p>
    <w:p>
      <w:pPr>
        <w:pStyle w:val="null5"/>
        <w:ind w:firstLine="480"/>
        <w:jc w:val="left"/>
      </w:pPr>
      <w:r>
        <w:rPr>
          <w:rFonts w:ascii="仿宋_GB2312" w:hAnsi="仿宋_GB2312" w:cs="仿宋_GB2312" w:eastAsia="仿宋_GB2312"/>
        </w:rPr>
        <w:t>（6）告知采购人、采购代理机构在评审过程中发现的供应商的违法违规行为；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询价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4.1询价小组不接受供应商主动提出的澄清、说明或更正。</w:t>
      </w:r>
    </w:p>
    <w:p>
      <w:pPr>
        <w:pStyle w:val="null5"/>
        <w:ind w:firstLine="480"/>
        <w:jc w:val="left"/>
      </w:pPr>
      <w:r>
        <w:rPr>
          <w:rFonts w:ascii="仿宋_GB2312" w:hAnsi="仿宋_GB2312" w:cs="仿宋_GB2312" w:eastAsia="仿宋_GB2312"/>
        </w:rPr>
        <w:t>4.2询价小组对供应商提交的澄清、说明或更正有疑问的，可以要求供应商进一步澄清、说明或更正。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（1）供应商未按照询价通知书要求提交保证金的，响应无效；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（3）未实质性响应询价通知书的，响应无效；</w:t>
      </w:r>
    </w:p>
    <w:p>
      <w:pPr>
        <w:pStyle w:val="null5"/>
        <w:ind w:firstLine="480"/>
        <w:jc w:val="left"/>
      </w:pPr>
      <w:r>
        <w:rPr>
          <w:rFonts w:ascii="仿宋_GB2312" w:hAnsi="仿宋_GB2312" w:cs="仿宋_GB2312" w:eastAsia="仿宋_GB2312"/>
        </w:rPr>
        <w:t>（4）法律、法规和询价通知书规定的其他无效情形。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出现下列情形之一的，采购人或者采购代理机构应当终止询价采购活动，发布项目终止公告并说明原因，重新开展采购活动：</w:t>
      </w:r>
    </w:p>
    <w:p>
      <w:pPr>
        <w:pStyle w:val="null5"/>
        <w:ind w:firstLine="480"/>
        <w:jc w:val="left"/>
      </w:pPr>
      <w:r>
        <w:rPr>
          <w:rFonts w:ascii="仿宋_GB2312" w:hAnsi="仿宋_GB2312" w:cs="仿宋_GB2312" w:eastAsia="仿宋_GB2312"/>
        </w:rPr>
        <w:t>（1）因情况变化，不再符合规定的询价采购方式适用情形的；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（3）在采购过程中符合竞争要求的供应商或者报价未超过采购预算的供应商不足3家的。</w:t>
      </w:r>
    </w:p>
    <w:p>
      <w:pPr>
        <w:pStyle w:val="null5"/>
        <w:ind w:firstLine="480"/>
        <w:jc w:val="left"/>
      </w:pPr>
      <w:r>
        <w:rPr>
          <w:rFonts w:ascii="仿宋_GB2312" w:hAnsi="仿宋_GB2312" w:cs="仿宋_GB2312" w:eastAsia="仿宋_GB2312"/>
        </w:rPr>
        <w:t>（4）法律、法规以及询价通知书规定其他情形。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评审结束后，询价小组根据采购人书面授权直接确定成交供应商或者由采购人从评审报告提出的成交候选供应商中按顺序确定成交供应商。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询价通知书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响应文件规范性、符合性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响应文件的签署、盖章、涂改、删除、插字、公章使用等符合询价通知书要求；响应文件文件的格式、文字、目录等符合询价通知书要求或对投标无实质性影响。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2.响应文件应当对询价通知书提出的要求和条件作出明确响应并满足询价通知书全部实质性要求。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询价通知书要求的其他无效投标情形；围标、串标和法律法规规定的其它无效投标条款。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pPr>
      <w:r>
        <w:rPr>
          <w:rFonts w:ascii="仿宋_GB2312" w:hAnsi="仿宋_GB2312" w:cs="仿宋_GB2312" w:eastAsia="仿宋_GB2312"/>
        </w:rPr>
        <w:t>采购包1：</w:t>
      </w:r>
    </w:p>
    <w:p>
      <w:pPr>
        <w:pStyle w:val="null5"/>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pPr>
            <w:r>
              <w:rPr>
                <w:rFonts w:ascii="仿宋_GB2312" w:hAnsi="仿宋_GB2312" w:cs="仿宋_GB2312" w:eastAsia="仿宋_GB2312"/>
              </w:rPr>
              <w:t xml:space="preserve"> 序号</w:t>
            </w:r>
          </w:p>
        </w:tc>
        <w:tc>
          <w:tcPr>
            <w:tcW w:type="dxa" w:w="1661"/>
          </w:tcPr>
          <w:p>
            <w:pPr>
              <w:pStyle w:val="null5"/>
            </w:pPr>
            <w:r>
              <w:rPr>
                <w:rFonts w:ascii="仿宋_GB2312" w:hAnsi="仿宋_GB2312" w:cs="仿宋_GB2312" w:eastAsia="仿宋_GB2312"/>
              </w:rPr>
              <w:t xml:space="preserve"> 情形</w:t>
            </w:r>
          </w:p>
        </w:tc>
        <w:tc>
          <w:tcPr>
            <w:tcW w:type="dxa" w:w="2492"/>
          </w:tcPr>
          <w:p>
            <w:pPr>
              <w:pStyle w:val="null5"/>
            </w:pPr>
            <w:r>
              <w:rPr>
                <w:rFonts w:ascii="仿宋_GB2312" w:hAnsi="仿宋_GB2312" w:cs="仿宋_GB2312" w:eastAsia="仿宋_GB2312"/>
              </w:rPr>
              <w:t xml:space="preserve"> 适用对象</w:t>
            </w:r>
          </w:p>
        </w:tc>
        <w:tc>
          <w:tcPr>
            <w:tcW w:type="dxa" w:w="831"/>
          </w:tcPr>
          <w:p>
            <w:pPr>
              <w:pStyle w:val="null5"/>
            </w:pPr>
            <w:r>
              <w:rPr>
                <w:rFonts w:ascii="仿宋_GB2312" w:hAnsi="仿宋_GB2312" w:cs="仿宋_GB2312" w:eastAsia="仿宋_GB2312"/>
              </w:rPr>
              <w:t xml:space="preserve"> 比例</w:t>
            </w:r>
          </w:p>
        </w:tc>
        <w:tc>
          <w:tcPr>
            <w:tcW w:type="dxa" w:w="2492"/>
          </w:tcPr>
          <w:p>
            <w:pPr>
              <w:pStyle w:val="null5"/>
            </w:pPr>
            <w:r>
              <w:rPr>
                <w:rFonts w:ascii="仿宋_GB2312" w:hAnsi="仿宋_GB2312" w:cs="仿宋_GB2312" w:eastAsia="仿宋_GB2312"/>
              </w:rPr>
              <w:t xml:space="preserve"> 说明</w:t>
            </w:r>
          </w:p>
        </w:tc>
      </w:tr>
      <w:tr>
        <w:tc>
          <w:tcPr>
            <w:tcW w:type="dxa" w:w="8307"/>
            <w:gridSpan w:val="5"/>
          </w:tcPr>
          <w:p>
            <w:pPr>
              <w:pStyle w:val="null5"/>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