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2025年鄂伦春自治旗农村义务教育学生营养改善计划</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鄂伦春自治旗教育体育局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内蒙古万顺达工程项目管理有限公司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HZCELCS-G-H-250001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内蒙古万顺达工程项目管理有限公司</w:t>
      </w:r>
      <w:r>
        <w:rPr>
          <w:rFonts w:ascii="仿宋_GB2312" w:hAnsi="仿宋_GB2312" w:cs="仿宋_GB2312" w:eastAsia="仿宋_GB2312"/>
        </w:rPr>
        <w:t xml:space="preserve"> 受 </w:t>
      </w:r>
      <w:r>
        <w:rPr>
          <w:rFonts w:ascii="仿宋_GB2312" w:hAnsi="仿宋_GB2312" w:cs="仿宋_GB2312" w:eastAsia="仿宋_GB2312"/>
        </w:rPr>
        <w:t>鄂伦春自治旗教育体育局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2025年鄂伦春自治旗农村义务教育学生营养改善计划</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2025年鄂伦春自治旗农村义务教育学生营养改善计划</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HZCELCS-G-H-250001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鄂政采计划[2025]00008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9,761,000.00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乳制品、烘焙食品</w:t>
            </w:r>
          </w:p>
        </w:tc>
        <w:tc>
          <w:tcPr>
            <w:tcW w:type="dxa" w:w="831"/>
          </w:tcPr>
          <w:p>
            <w:pPr>
              <w:pStyle w:val="null5"/>
              <w:jc w:val="right"/>
            </w:pPr>
            <w:r>
              <w:rPr>
                <w:rFonts w:ascii="仿宋_GB2312" w:hAnsi="仿宋_GB2312" w:cs="仿宋_GB2312" w:eastAsia="仿宋_GB2312"/>
              </w:rPr>
              <w:t>1,952,200.00</w:t>
            </w:r>
          </w:p>
        </w:tc>
        <w:tc>
          <w:tcPr>
            <w:tcW w:type="dxa" w:w="831"/>
          </w:tcPr>
          <w:p>
            <w:pPr>
              <w:pStyle w:val="null5"/>
              <w:jc w:val="right"/>
            </w:pPr>
            <w:r>
              <w:rPr>
                <w:rFonts w:ascii="仿宋_GB2312" w:hAnsi="仿宋_GB2312" w:cs="仿宋_GB2312" w:eastAsia="仿宋_GB2312"/>
              </w:rPr>
              <w:t>9,761,000.00</w:t>
            </w:r>
          </w:p>
        </w:tc>
        <w:tc>
          <w:tcPr>
            <w:tcW w:type="dxa" w:w="831"/>
          </w:tcPr>
          <w:p>
            <w:pPr>
              <w:pStyle w:val="null5"/>
              <w:jc w:val="left"/>
            </w:pPr>
            <w:r>
              <w:rPr>
                <w:rFonts w:ascii="仿宋_GB2312" w:hAnsi="仿宋_GB2312" w:cs="仿宋_GB2312" w:eastAsia="仿宋_GB2312"/>
              </w:rPr>
              <w:t>组</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1、供应商资格要求：供应商需具有独立法人资格，如是经销商投标须提供有效的《食品经营许可证》或仅销售预包装食品备案信息采集表，如是生产商投标须提供有效的《食品生产许可证》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内蒙古万顺达工程项目管理有限公司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内蒙古自治区呼伦贝尔市海拉尔区内蒙古自治区呼伦贝尔市海拉尔区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022350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朱艳锋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18604808444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鄂伦春自治旗教育体育局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鄂伦春旗阿里河镇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021008</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罗巍崴</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18647017977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代理服务费收费标准：参照关于《内蒙古自治区建设工程招标代理服务收费指导意见》的通知-内工建协[2022]34 号文件标准收取，前500万按1%收取，剩余按0.8%收取。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鄂伦春自治旗教育体育局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内蒙古万顺达工程项目管理有限公司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供应商资格要求</w:t>
            </w:r>
          </w:p>
        </w:tc>
        <w:tc>
          <w:tcPr>
            <w:tcW w:type="dxa" w:w="4984"/>
          </w:tcPr>
          <w:p>
            <w:pPr>
              <w:pStyle w:val="null5"/>
              <w:jc w:val="left"/>
            </w:pPr>
            <w:r>
              <w:rPr>
                <w:rFonts w:ascii="仿宋_GB2312" w:hAnsi="仿宋_GB2312" w:cs="仿宋_GB2312" w:eastAsia="仿宋_GB2312"/>
              </w:rPr>
              <w:t>供应商需具有独立法人资格，如是经销商投标须提供有效的《食品经营许可证》或仅销售预包装食品备案信息采集表，如是生产商投标须提供有效的《食品生产许可证》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采购1,952,200组营养餐，每组按文件要求提供相应的牛奶和面包（牛奶大于等于200ml，面包大于等于60g）。</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合同签订后三日内开始分批供货；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送货上门至鄂伦春自治旗各农村义务教育学校存储室</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1、5月15日前拨付二月、三月、四月的货款，约合同额的25%，附有质量、数量、完整的验收清单；，达到付款条件起30日，支付合同总金额的25.00%</w:t>
            </w:r>
          </w:p>
          <w:p>
            <w:pPr>
              <w:pStyle w:val="null5"/>
              <w:jc w:val="left"/>
            </w:pPr>
            <w:r>
              <w:rPr>
                <w:rFonts w:ascii="仿宋_GB2312" w:hAnsi="仿宋_GB2312" w:cs="仿宋_GB2312" w:eastAsia="仿宋_GB2312"/>
              </w:rPr>
              <w:t>2、7月15日前拨付五月、六月、七月的货款，约合同额的25%，附有质量、数量、完整的验收清单；，达到付款条件起30日，支付合同总金额的25.00%</w:t>
            </w:r>
          </w:p>
          <w:p>
            <w:pPr>
              <w:pStyle w:val="null5"/>
              <w:jc w:val="left"/>
            </w:pPr>
            <w:r>
              <w:rPr>
                <w:rFonts w:ascii="仿宋_GB2312" w:hAnsi="仿宋_GB2312" w:cs="仿宋_GB2312" w:eastAsia="仿宋_GB2312"/>
              </w:rPr>
              <w:t>3、11月15日前拨付九月、十月的货款，约合同额的25%，附有质量、数量、完整的验收清单；，达到付款条件起30日，支付合同总金额的25.00%</w:t>
            </w:r>
          </w:p>
          <w:p>
            <w:pPr>
              <w:pStyle w:val="null5"/>
              <w:jc w:val="left"/>
            </w:pPr>
            <w:r>
              <w:rPr>
                <w:rFonts w:ascii="仿宋_GB2312" w:hAnsi="仿宋_GB2312" w:cs="仿宋_GB2312" w:eastAsia="仿宋_GB2312"/>
              </w:rPr>
              <w:t>4、1月15日前拨付十一月、十二月、一月的货款约合同额的25%，附有质量、数量、完整的验收清单；，达到付款条件起30日，支付合同总金额的25.00%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标的名称：乳制品、烘焙食品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1、面包：执行GB/T20981质量标准，能量不低于1503kj/100g，蛋白质不低于8.0g/100g,脂肪12.5g/100g,保质期6个月。面包净含量大于等于60克，提供产品的合格证及检测报告。</w:t>
            </w:r>
            <w:r>
              <w:br/>
            </w:r>
            <w:r>
              <w:rPr>
                <w:rFonts w:ascii="仿宋_GB2312" w:hAnsi="仿宋_GB2312" w:cs="仿宋_GB2312" w:eastAsia="仿宋_GB2312"/>
              </w:rPr>
              <w:t xml:space="preserve"> 2、学生饮用奶：执行GB25190-2010《食品安全国家标准灭菌乳》、GB2762-2022《食品安全国家标准食品中污染物限量》、GB2761-2017《食品安全国家标准食品中真菌毒素限量》、《中华人民共和国卫生部、中华人民共和国工业和信息化部、中华人民共和国农业部、国家工商行政管理总局、国家质量监督检验检疫总局》公告（2011年第10号）、GB/T22388-2008《原料乳与乳制品中三聚氰胺检测方法》、GB7718-2011《食品安全国家标准预包装食品标签通则》、GB 2805-2011《视频安全国家标准预包装食品营养标签通则》、《定量包装商品计量监督管理办法》（国家市场监督管理总局令第70号）、JJF1070-2005《定量包装商品净含量计量检验规则》、T/DAC004-2017《学生饮用奶纯牛奶》、GB2760-2014《食品安全国家标准食品添加剂使用标准》。学生饮用奶净含量需大于等于200毫升/盒，提供产品的合格证及检测报告。</w:t>
            </w:r>
            <w:r>
              <w:br/>
            </w:r>
            <w:r>
              <w:rPr>
                <w:rFonts w:ascii="仿宋_GB2312" w:hAnsi="仿宋_GB2312" w:cs="仿宋_GB2312" w:eastAsia="仿宋_GB2312"/>
              </w:rPr>
              <w:t xml:space="preserve"> 3、供应商需配备自有或租赁的仓储场地（提供库房自有证明或租赁合同）；</w:t>
            </w:r>
            <w:r>
              <w:br/>
            </w:r>
            <w:r>
              <w:rPr>
                <w:rFonts w:ascii="仿宋_GB2312" w:hAnsi="仿宋_GB2312" w:cs="仿宋_GB2312" w:eastAsia="仿宋_GB2312"/>
              </w:rPr>
              <w:t xml:space="preserve"> 4、投标人的投标报价应包含本项目所有产品的购置、包装、运输、售后、税金、保险等伴随货物的所有费用。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技术响应情况</w:t>
            </w:r>
          </w:p>
        </w:tc>
        <w:tc>
          <w:tcPr>
            <w:tcW w:type="dxa" w:w="3115"/>
          </w:tcPr>
          <w:p>
            <w:pPr>
              <w:pStyle w:val="null5"/>
              <w:jc w:val="left"/>
            </w:pPr>
            <w:r>
              <w:rPr>
                <w:rFonts w:ascii="仿宋_GB2312" w:hAnsi="仿宋_GB2312" w:cs="仿宋_GB2312" w:eastAsia="仿宋_GB2312"/>
              </w:rPr>
              <w:t>根据投标人提供的各项技术指标的详细描述及技术参数的佐证材料进行评审，满足招标文件全部要求得10分。技术参数达不到招标文件要求的,每有一项扣2.5分,扣完10分为止。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供应商针对本项目，提供供货及工作方案。根据供货方案可操作性、人员配备全面性、时间规划合理性，内容详细，思路清晰，科学合理性，方案满足本项目要求，有针对性符合项目特点，方案可操作性强得10分；供货及工作方案可操作性不强、时间规划不合理，内容缺项，表述不完整得7分；供货及工作方案内容混乱或缺少可行性得3分；未提供供货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配送运输方案</w:t>
            </w:r>
          </w:p>
        </w:tc>
        <w:tc>
          <w:tcPr>
            <w:tcW w:type="dxa" w:w="3115"/>
          </w:tcPr>
          <w:p>
            <w:pPr>
              <w:pStyle w:val="null5"/>
              <w:jc w:val="left"/>
            </w:pPr>
            <w:r>
              <w:rPr>
                <w:rFonts w:ascii="仿宋_GB2312" w:hAnsi="仿宋_GB2312" w:cs="仿宋_GB2312" w:eastAsia="仿宋_GB2312"/>
              </w:rPr>
              <w:t>根据投标人投标文件中货物运输、装卸及验收方案，进行评分。内容完整，逻辑清晰，符合本项目要求得10分，方案基本合理可行得7分，内容混乱或缺少可行性得3分；未提供不得分。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供应商针对本项目，提供质量保证措施，包括质量管理目标、质量管理组织体系、质量管理人员分工及职责、供货质量保证措施、供货质量承诺等内容。以上每项内容全面，科学合理，有具体实际操作内容、各项内容之间无相互矛盾之处的得10分；质量保证措施不尽合理、针对性不强、不完全符合本项目特点得7分；内容混乱或缺少可行性得3分；未提供质量保证措施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应急响应方案</w:t>
            </w:r>
          </w:p>
        </w:tc>
        <w:tc>
          <w:tcPr>
            <w:tcW w:type="dxa" w:w="3115"/>
          </w:tcPr>
          <w:p>
            <w:pPr>
              <w:pStyle w:val="null5"/>
              <w:jc w:val="left"/>
            </w:pPr>
            <w:r>
              <w:rPr>
                <w:rFonts w:ascii="仿宋_GB2312" w:hAnsi="仿宋_GB2312" w:cs="仿宋_GB2312" w:eastAsia="仿宋_GB2312"/>
              </w:rPr>
              <w:t>供应商针对本项目，提供突发事件处理方案。包括突发事件解决方案、响应时间及联系方式、突发事件处理流程、紧急情况及应对措施、突发事件预防方案。以上每项内容全面，科学合理，有具体实际操作内容、各项内容之间无相互矛盾之处的得5分；应急响应方案不尽合理、针对性不强、不完全符合本项目特点得3分；内容混乱或缺少可行性得1分；未提供应急响应方案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售后服务体系科学完善，服务方式合理详尽，可行性好得5分；基本合理可行得3分；少部分合理可行的得1分，不合理可行的不得分，没有不得分。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同类项目业绩</w:t>
            </w:r>
          </w:p>
        </w:tc>
        <w:tc>
          <w:tcPr>
            <w:tcW w:type="dxa" w:w="3115"/>
          </w:tcPr>
          <w:p>
            <w:pPr>
              <w:pStyle w:val="null5"/>
              <w:jc w:val="left"/>
            </w:pPr>
            <w:r>
              <w:rPr>
                <w:rFonts w:ascii="仿宋_GB2312" w:hAnsi="仿宋_GB2312" w:cs="仿宋_GB2312" w:eastAsia="仿宋_GB2312"/>
              </w:rPr>
              <w:t>投标人2022年1月1日至今承担过的类似本项目业绩（类似业绩指食品供应类项目），有1个得3分，最多得9分。注：投标人须提供合同扫描件，合同应至少包括合同关键页及盖章页，时间以合同签订时间为准。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配置具有食品类健康证的专业配送人员，每配置一人加1分，最多加5分。（需提供食品类健康证）</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运输能力</w:t>
            </w:r>
          </w:p>
        </w:tc>
        <w:tc>
          <w:tcPr>
            <w:tcW w:type="dxa" w:w="3115"/>
          </w:tcPr>
          <w:p>
            <w:pPr>
              <w:pStyle w:val="null5"/>
              <w:jc w:val="left"/>
            </w:pPr>
            <w:r>
              <w:rPr>
                <w:rFonts w:ascii="仿宋_GB2312" w:hAnsi="仿宋_GB2312" w:cs="仿宋_GB2312" w:eastAsia="仿宋_GB2312"/>
              </w:rPr>
              <w:t>投标人提供本项目使用的(自有或租赁)运输车辆的，每提供1辆得2分，最多6分； 注：自有车辆须提供行驶证、车辆图片复印件并加盖公章；租赁车辆须提供租赁合同、车辆图片复印件并加盖公章，提供证明材料不清淅或不齐全的不得分。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