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2024年呼伦贝尔市鄂伦春自治旗黑土地保护工程高标农田建设项目-财务决算审计、竣工结算审计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鄂伦春自治旗农牧科技局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丰汇国际项目管理有限公司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HZCELCS-C-F-250002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丰汇国际项目管理有限公司</w:t>
      </w:r>
      <w:r>
        <w:rPr>
          <w:rFonts w:ascii="仿宋_GB2312" w:hAnsi="仿宋_GB2312" w:cs="仿宋_GB2312" w:eastAsia="仿宋_GB2312"/>
        </w:rPr>
        <w:t xml:space="preserve"> 受 </w:t>
      </w:r>
      <w:r>
        <w:rPr>
          <w:rFonts w:ascii="仿宋_GB2312" w:hAnsi="仿宋_GB2312" w:cs="仿宋_GB2312" w:eastAsia="仿宋_GB2312"/>
        </w:rPr>
        <w:t>鄂伦春自治旗农牧科技局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2024年呼伦贝尔市鄂伦春自治旗黑土地保护工程高标农田建设项目-财务决算审计、竣工结算审计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2024年呼伦贝尔市鄂伦春自治旗黑土地保护工程高标农田建设项目-财务决算审计、竣工结算审计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HZCELCS-C-F-250002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鄂政采计划[2025]00032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2024年呼伦贝尔市鄂伦春自治旗黑土地保护工程高标农田建设项目财务决算审计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1,390,000.00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2024年呼伦贝尔市鄂伦春自治旗黑土地保护工程高标农田建设项目竣工结算审计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1,390,000.00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1、特定资格条件要求：（1）供应商需具备财政部门颁发的有效期内的【会计师事务所执业证书】； （2）拟派的项目负责人需具备注册会计师执业资格；</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1、特定资格条件要求：（1）供应商拟派项目负责人须具备一级注册造价工程师 执业资格； （2）供应商应至少为本项目配备除项目负责人外的一级注册造价工程师2人；</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丰汇国际项目管理有限公司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陕西省西安市碑林区陕西省西安市碑林区长安北路永宁国际（大话南门）20楼2003室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13190764779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鄂伦春自治旗农牧科技局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鄂伦春自治旗阿里河镇向阳街118号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董平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18547022002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代理服务费收费标准：合同包1:1.35万元； 合同包2:1.87万元；</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采购包1保证金金额：10,000.00元</w:t>
            </w:r>
          </w:p>
          <w:p>
            <w:pPr>
              <w:pStyle w:val="null5"/>
              <w:jc w:val="left"/>
            </w:pPr>
            <w:r>
              <w:rPr>
                <w:rFonts w:ascii="仿宋_GB2312" w:hAnsi="仿宋_GB2312" w:cs="仿宋_GB2312" w:eastAsia="仿宋_GB2312"/>
              </w:rPr>
              <w:t>采购包2保证金金额：10,000.00元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鄂伦春自治旗农牧科技局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丰汇国际项目管理有限公司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签订合同之日起至本项目通过市级验收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鄂伦春自治旗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1、甲乙双方签订合同后拨付合同价款的10%，达到付款条件起10日，支付合同总金额的10.00%</w:t>
            </w:r>
          </w:p>
          <w:p>
            <w:pPr>
              <w:pStyle w:val="null5"/>
              <w:jc w:val="left"/>
            </w:pPr>
            <w:r>
              <w:rPr>
                <w:rFonts w:ascii="仿宋_GB2312" w:hAnsi="仿宋_GB2312" w:cs="仿宋_GB2312" w:eastAsia="仿宋_GB2312"/>
              </w:rPr>
              <w:t>2、审计工作结束后出具相关审计、审核报告，并通过市级验收后拨付合同价款的90%，达到付款条件起10日，支付合同总金额的90.00%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自签订签订合同之日起至本项目通过市级验收</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鄂伦春自治旗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1、甲乙双方签订合同后拨付合同价款的10%，达到付款条件起10日，支付合同总金额的10.00%</w:t>
            </w:r>
          </w:p>
          <w:p>
            <w:pPr>
              <w:pStyle w:val="null5"/>
              <w:jc w:val="left"/>
            </w:pPr>
            <w:r>
              <w:rPr>
                <w:rFonts w:ascii="仿宋_GB2312" w:hAnsi="仿宋_GB2312" w:cs="仿宋_GB2312" w:eastAsia="仿宋_GB2312"/>
              </w:rPr>
              <w:t>2、审计工作结束后出具相关审计、审核报告，并通过市级验收后拨付合同价款的90%，达到付款条件起10日，支付合同总金额的90.00%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标的名称：2024年呼伦贝尔市鄂伦春自治旗黑土地保护工程高标农田建设项目财务决算审计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乙方提供的审计服务须满足国家及行业有关审计的质量验收合格标准，并出具相关审计、审核报告，通过市级验收</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标的名称：2024年呼伦贝尔市鄂伦春自治旗黑土地保护工程高标农田建设项目竣工结算审计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乙方提供的审计服务须满足国家及行业有关审计的质量验收合格标准，并出具相关审计、审核报告，通过市级验收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特定资格条件要求</w:t>
            </w:r>
          </w:p>
        </w:tc>
        <w:tc>
          <w:tcPr>
            <w:tcW w:type="dxa" w:w="4984"/>
          </w:tcPr>
          <w:p>
            <w:pPr>
              <w:pStyle w:val="null5"/>
              <w:jc w:val="left"/>
            </w:pPr>
            <w:r>
              <w:rPr>
                <w:rFonts w:ascii="仿宋_GB2312" w:hAnsi="仿宋_GB2312" w:cs="仿宋_GB2312" w:eastAsia="仿宋_GB2312"/>
              </w:rPr>
              <w:t>（1）供应商需具备财政部门颁发的有效期内的【会计师事务所执业证书】； （2）拟派的项目负责人需具备注册会计师执业资格；</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特定资格条件要求</w:t>
            </w:r>
          </w:p>
        </w:tc>
        <w:tc>
          <w:tcPr>
            <w:tcW w:type="dxa" w:w="4984"/>
          </w:tcPr>
          <w:p>
            <w:pPr>
              <w:pStyle w:val="null5"/>
              <w:jc w:val="left"/>
            </w:pPr>
            <w:r>
              <w:rPr>
                <w:rFonts w:ascii="仿宋_GB2312" w:hAnsi="仿宋_GB2312" w:cs="仿宋_GB2312" w:eastAsia="仿宋_GB2312"/>
              </w:rPr>
              <w:t>（1）供应商拟派项目负责人须具备一级注册造价工程师 执业资格； （2）供应商应至少为本项目配备除项目负责人外的一级注册造价工程师2人；</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项目的理解程度与审计工作思路</w:t>
            </w:r>
          </w:p>
        </w:tc>
        <w:tc>
          <w:tcPr>
            <w:tcW w:type="dxa" w:w="3115"/>
          </w:tcPr>
          <w:p>
            <w:pPr>
              <w:pStyle w:val="null5"/>
              <w:jc w:val="left"/>
            </w:pPr>
            <w:r>
              <w:rPr>
                <w:rFonts w:ascii="仿宋_GB2312" w:hAnsi="仿宋_GB2312" w:cs="仿宋_GB2312" w:eastAsia="仿宋_GB2312"/>
              </w:rPr>
              <w:t>对项目需求分析和整体服务①设想充分全面（3分）②整体工作思路清晰（3分）③相关政策了解掌握充分（3分）进行评审，每项3分，内容详细、科学合理、完整无缺项的计20分。未提供的不得分,所提供的每小项方案中有缺陷(缺陷是指：凭空编造；内容前后不一致；前后逻辑错误；涉及的规范及标准错误；地点区域错误；方案与业务需求不符；内容缺失，以上有任意一项出现即视为缺陷)得1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工作进度措施</w:t>
            </w:r>
          </w:p>
        </w:tc>
        <w:tc>
          <w:tcPr>
            <w:tcW w:type="dxa" w:w="3115"/>
          </w:tcPr>
          <w:p>
            <w:pPr>
              <w:pStyle w:val="null5"/>
              <w:jc w:val="left"/>
            </w:pPr>
            <w:r>
              <w:rPr>
                <w:rFonts w:ascii="仿宋_GB2312" w:hAnsi="仿宋_GB2312" w:cs="仿宋_GB2312" w:eastAsia="仿宋_GB2312"/>
              </w:rPr>
              <w:t>对①项目进度控制目标明确程度（5分）、②进度控制方法及措施合理可行性（5分）、③项目进度控制要点分析全面程度（5分）、④控制对策可行性（5分）进行评审，每项5分，内容详细、科学合理、完整无缺项的计20分。未提供的不得分,所提供的每小项方案中有缺陷(缺陷是指：凭空编造；内容前后不一致；前后逻辑错误；涉及的规范及标准错误；地点区域错误；方案与业务需求不符；内容缺失，以上有任意一项出现即视为缺陷)得2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对①项目组织安排（4分）、②人力资源安排（4分）、 ③完成任务的质量标准描述（4分）、④确保按时高质完成审计任务的措施（4分）、⑤保密措施、加强廉政工作纪律措施（4分）进行评审，每项4分，内容详细、科学合理、完整无缺项的计20分。未提供的不得分,所提供的每小项方案中有缺陷(缺陷是指：凭空编造；内容前后不一致；前后逻辑错误；涉及的规范及标准错误；地点区域错误；方案与业务需求不符；内容缺失，以上有任意一项出现即视为缺陷)得2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对①服务质量保证方案（3分）、②服务方案措施可行性（3分）进行评审，每项3分，内容详细、科学合理、完整无缺项的计6分。未提供的不得分,所提供的每小项方案中有缺陷(缺陷是指：凭空编造；内容前后不一致；前后逻辑错误；涉及的规范及标准错误；地点区域错误；方案与业务需求不符；内容缺失，以上有任意一项出现即视为缺陷)得1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①服务及违约责任承诺（4分）、②服务体系（4分）、③服务响应机制（4分）进行评审，每项4分，内容详细、科学合理、完整无缺项的计12分。未提供的不得分,所提供的每小项方案中有缺陷(缺陷是指：凭空编造；内容前后不一致；前后逻辑错误；涉及的规范及标准错误；地点区域错误；方案与业务需求不符；内容缺失，以上有任意一项出现即视为缺陷)得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保密措施及合理化建议</w:t>
            </w:r>
          </w:p>
        </w:tc>
        <w:tc>
          <w:tcPr>
            <w:tcW w:type="dxa" w:w="3115"/>
          </w:tcPr>
          <w:p>
            <w:pPr>
              <w:pStyle w:val="null5"/>
              <w:jc w:val="left"/>
            </w:pPr>
            <w:r>
              <w:rPr>
                <w:rFonts w:ascii="仿宋_GB2312" w:hAnsi="仿宋_GB2312" w:cs="仿宋_GB2312" w:eastAsia="仿宋_GB2312"/>
              </w:rPr>
              <w:t>针对本包的工作内容、属性特点做出保密承诺，制定保密措施，提出合理 化建议的，内容详细、科学合理的计3分。未提供的不得分,所提供的方案中有缺陷(缺陷是指：凭空编造；内容前后不一致；前后逻辑错误；涉及的规范及标准错误；地点区域错误；方案与业务需求不符；内容缺失，以上有任意一项出现即视为缺陷)得1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企业内控制度</w:t>
            </w:r>
          </w:p>
        </w:tc>
        <w:tc>
          <w:tcPr>
            <w:tcW w:type="dxa" w:w="3115"/>
          </w:tcPr>
          <w:p>
            <w:pPr>
              <w:pStyle w:val="null5"/>
              <w:jc w:val="left"/>
            </w:pPr>
            <w:r>
              <w:rPr>
                <w:rFonts w:ascii="仿宋_GB2312" w:hAnsi="仿宋_GB2312" w:cs="仿宋_GB2312" w:eastAsia="仿宋_GB2312"/>
              </w:rPr>
              <w:t>对①投标人组织机构（5分），②内部管理制度（5分）进行评审，每项5分，内容详细、科学合理、完整无缺项的计10分。未提供的不得分,所提供的每小项方案中有缺陷(缺陷是指：凭空编造；内容前后不一致；前后逻辑错误；涉及的规范及标准错误；地点区域错误；方案与业务需求不符；内容缺失，以上有任意一项出现即视为缺陷)得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投标单位近3年（2022年1月1日-至今）承担过的审计类项目业绩，有一项得2.5分，最多得10分。 注：业绩证明材料须提供合同（以签订合同时间为准），合同必须提供合同首页、合同金额所在页、签字盖章页、合同标的页。</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项目的理解程度与审计工作思路</w:t>
            </w:r>
          </w:p>
        </w:tc>
        <w:tc>
          <w:tcPr>
            <w:tcW w:type="dxa" w:w="3115"/>
          </w:tcPr>
          <w:p>
            <w:pPr>
              <w:pStyle w:val="null5"/>
              <w:jc w:val="left"/>
            </w:pPr>
            <w:r>
              <w:rPr>
                <w:rFonts w:ascii="仿宋_GB2312" w:hAnsi="仿宋_GB2312" w:cs="仿宋_GB2312" w:eastAsia="仿宋_GB2312"/>
              </w:rPr>
              <w:t>对项目需求分析和整体服务①设想充分全面（3分）②整体工作思路清晰（3分）③相关政策了解掌握充分（3分）进行评审，每项3分，内容详细、科学合理、完整无缺项的计20分。未提供的不得分,所提供的每小项方案中有缺陷(缺陷是指：凭空编造；内容前后不一致；前后逻辑错误；涉及的规范及标准错误；地点区域错误；方案与业务需求不符；内容缺失，以上有任意一项出现即视为缺陷)得1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工作进度措施</w:t>
            </w:r>
          </w:p>
        </w:tc>
        <w:tc>
          <w:tcPr>
            <w:tcW w:type="dxa" w:w="3115"/>
          </w:tcPr>
          <w:p>
            <w:pPr>
              <w:pStyle w:val="null5"/>
              <w:jc w:val="left"/>
            </w:pPr>
            <w:r>
              <w:rPr>
                <w:rFonts w:ascii="仿宋_GB2312" w:hAnsi="仿宋_GB2312" w:cs="仿宋_GB2312" w:eastAsia="仿宋_GB2312"/>
              </w:rPr>
              <w:t>对①项目进度控制目标明确程度（5分）、②进度控制方法及措施合理可行性（5分）、③项目进度控制要点分析全面程度（5分）、④控制对策可行性（5分）进行评审，每项5分，内容详细、科学合理、完整无缺项的计20分。未提供的不得分,所提供的每小项方案中有缺陷(缺陷是指：凭空编造；内容前后不一致；前后逻辑错误；涉及的规范及标准错误；地点区域错误；方案与业务需求不符；内容缺失，以上有任意一项出现即视为缺陷)得2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对①项目组织安排（4分）、②人力资源安排（4分）、 ③完成任务的质量标准描述（4分）、④确保按时高质完成审计任务的措施（4分）、⑤保密措施、加强廉政工作纪律措施（4分）进行评审，每项4分，内容详细、科学合理、完整无缺项的计20分。未提供的不得分,所提供的每小项方案中有缺陷(缺陷是指：凭空编造；内容前后不一致；前后逻辑错误；涉及的规范及标准错误；地点区域错误；方案与业务需求不符；内容缺失，以上有任意一项出现即视为缺陷)得2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对①服务质量保证方案（3分）、②服务方案措施可行性（3分）进行评审，每项3分，内容详细、科学合理、完整无缺项的计6分。未提供的不得分,所提供的每小项方案中有缺陷(缺陷是指：凭空编造；内容前后不一致；前后逻辑错误；涉及的规范及标准错误；地点区域错误；方案与业务需求不符；内容缺失，以上有任意一项出现即视为缺陷)得1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①服务及违约责任承诺（4分）、②服务体系（4分）、③服务响应机制（4分）进行评审，每项4分，内容详细、科学合理、完整无缺项的计12分。未提供的不得分,所提供的每小项方案中有缺陷(缺陷是指：凭空编造；内容前后不一致；前后逻辑错误；涉及的规范及标准错误；地点区域错误；方案与业务需求不符；内容缺失，以上有任意一项出现即视为缺陷)得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保密措施及合理化建议</w:t>
            </w:r>
          </w:p>
        </w:tc>
        <w:tc>
          <w:tcPr>
            <w:tcW w:type="dxa" w:w="3115"/>
          </w:tcPr>
          <w:p>
            <w:pPr>
              <w:pStyle w:val="null5"/>
              <w:jc w:val="left"/>
            </w:pPr>
            <w:r>
              <w:rPr>
                <w:rFonts w:ascii="仿宋_GB2312" w:hAnsi="仿宋_GB2312" w:cs="仿宋_GB2312" w:eastAsia="仿宋_GB2312"/>
              </w:rPr>
              <w:t>针对本包的工作内容、属性特点做出保密承诺，制定保密措施，提出合理 化建议的，内容详细、科学合理的计3分。未提供的不得分,所提供的方案中有缺陷(缺陷是指：凭空编造；内容前后不一致；前后逻辑错误；涉及的规范及标准错误；地点区域错误；方案与业务需求不符；内容缺失，以上有任意一项出现即视为缺陷)得1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企业内控制度</w:t>
            </w:r>
          </w:p>
        </w:tc>
        <w:tc>
          <w:tcPr>
            <w:tcW w:type="dxa" w:w="3115"/>
          </w:tcPr>
          <w:p>
            <w:pPr>
              <w:pStyle w:val="null5"/>
              <w:jc w:val="left"/>
            </w:pPr>
            <w:r>
              <w:rPr>
                <w:rFonts w:ascii="仿宋_GB2312" w:hAnsi="仿宋_GB2312" w:cs="仿宋_GB2312" w:eastAsia="仿宋_GB2312"/>
              </w:rPr>
              <w:t>对①投标人组织机构（5分），②内部管理制度（5分）进行评审，每项5分，内容详细、科学合理、完整无缺项的计10分。未提供的不得分,所提供的每小项方案中有缺陷(缺陷是指：凭空编造；内容前后不一致；前后逻辑错误；涉及的规范及标准错误；地点区域错误；方案与业务需求不符；内容缺失，以上有任意一项出现即视为缺陷)得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投标单位近3年（2022年1月1日-至今）承担过的审计类项目业绩，有一项得2.5分，最多得10分。 注：业绩证明材料须提供合同（以签订合同时间为准），合同必须提供合同首页、合同金额所在页、签字盖章页、合同标的页。</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