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陈巴尔虎旗公共服务项目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陈巴尔虎旗城市管理综合行政执法局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内蒙古中浩工程项目管理有限公司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HZCCQS-G-F-250004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内蒙古中浩工程项目管理有限公司</w:t>
      </w:r>
      <w:r>
        <w:rPr>
          <w:rFonts w:ascii="仿宋_GB2312" w:hAnsi="仿宋_GB2312" w:cs="仿宋_GB2312" w:eastAsia="仿宋_GB2312"/>
        </w:rPr>
        <w:t xml:space="preserve"> 受 </w:t>
      </w:r>
      <w:r>
        <w:rPr>
          <w:rFonts w:ascii="仿宋_GB2312" w:hAnsi="仿宋_GB2312" w:cs="仿宋_GB2312" w:eastAsia="仿宋_GB2312"/>
        </w:rPr>
        <w:t>陈巴尔虎旗城市管理综合行政执法局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陈巴尔虎旗公共服务项目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陈巴尔虎旗公共服务项目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HZCCQS-G-F-250004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陈政采计划[2025]00030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6,290,285.00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陈巴尔虎旗公共服务项目一标段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6,290,285.00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5,246,275.00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陈巴尔虎旗公共服务项目二标段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5,246,275.00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577,282.00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陈巴尔虎旗公共服务项目三标段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577,282.00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905,198.00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陈巴尔虎旗公共服务项目四标段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905,198.00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771,474.00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陈巴尔虎旗公共服务项目五标段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771,474.00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采购包预算金额（元）: 370,392.00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陈巴尔虎旗公共服务项目六标段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370,392.00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内蒙古中浩工程项目管理有限公司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内蒙古自治区呼伦贝尔市海拉尔区奋斗镇海晨水岸雅居1号门市11号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022210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闫浩</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15104982500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陈巴尔虎旗城市管理综合行政执法局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陈巴尔虎旗巴彦库仁镇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宋磊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18047000740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6</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p>
            <w:pPr>
              <w:pStyle w:val="null5"/>
              <w:jc w:val="left"/>
            </w:pPr>
            <w:r>
              <w:rPr>
                <w:rFonts w:ascii="仿宋_GB2312" w:hAnsi="仿宋_GB2312" w:cs="仿宋_GB2312" w:eastAsia="仿宋_GB2312"/>
              </w:rPr>
              <w:t>采购包6：综合评分法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p>
            <w:pPr>
              <w:pStyle w:val="null5"/>
              <w:jc w:val="left"/>
            </w:pPr>
            <w:r>
              <w:rPr>
                <w:rFonts w:ascii="仿宋_GB2312" w:hAnsi="仿宋_GB2312" w:cs="仿宋_GB2312" w:eastAsia="仿宋_GB2312"/>
              </w:rPr>
              <w:t>采购包6：不接受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代理服务费收费标准：依《内蒙古自治区建设工程招标代理服务收费指导意见》内工建协[2022]34号文件要求收取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采购包1保证金金额：125,805.70元</w:t>
            </w:r>
          </w:p>
          <w:p>
            <w:pPr>
              <w:pStyle w:val="null5"/>
              <w:jc w:val="left"/>
            </w:pPr>
            <w:r>
              <w:rPr>
                <w:rFonts w:ascii="仿宋_GB2312" w:hAnsi="仿宋_GB2312" w:cs="仿宋_GB2312" w:eastAsia="仿宋_GB2312"/>
              </w:rPr>
              <w:t>采购包2保证金金额：104,925.50元</w:t>
            </w:r>
          </w:p>
          <w:p>
            <w:pPr>
              <w:pStyle w:val="null5"/>
              <w:jc w:val="left"/>
            </w:pPr>
            <w:r>
              <w:rPr>
                <w:rFonts w:ascii="仿宋_GB2312" w:hAnsi="仿宋_GB2312" w:cs="仿宋_GB2312" w:eastAsia="仿宋_GB2312"/>
              </w:rPr>
              <w:t>采购包3保证金金额：11,545.64元</w:t>
            </w:r>
          </w:p>
          <w:p>
            <w:pPr>
              <w:pStyle w:val="null5"/>
              <w:jc w:val="left"/>
            </w:pPr>
            <w:r>
              <w:rPr>
                <w:rFonts w:ascii="仿宋_GB2312" w:hAnsi="仿宋_GB2312" w:cs="仿宋_GB2312" w:eastAsia="仿宋_GB2312"/>
              </w:rPr>
              <w:t>采购包4保证金金额：18,103.96元</w:t>
            </w:r>
          </w:p>
          <w:p>
            <w:pPr>
              <w:pStyle w:val="null5"/>
              <w:jc w:val="left"/>
            </w:pPr>
            <w:r>
              <w:rPr>
                <w:rFonts w:ascii="仿宋_GB2312" w:hAnsi="仿宋_GB2312" w:cs="仿宋_GB2312" w:eastAsia="仿宋_GB2312"/>
              </w:rPr>
              <w:t>采购包5保证金金额：15,429.48元</w:t>
            </w:r>
          </w:p>
          <w:p>
            <w:pPr>
              <w:pStyle w:val="null5"/>
              <w:jc w:val="left"/>
            </w:pPr>
            <w:r>
              <w:rPr>
                <w:rFonts w:ascii="仿宋_GB2312" w:hAnsi="仿宋_GB2312" w:cs="仿宋_GB2312" w:eastAsia="仿宋_GB2312"/>
              </w:rPr>
              <w:t>采购包6保证金金额：7,407.84元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p>
            <w:pPr>
              <w:pStyle w:val="null5"/>
              <w:jc w:val="left"/>
            </w:pPr>
            <w:r>
              <w:rPr>
                <w:rFonts w:ascii="仿宋_GB2312" w:hAnsi="仿宋_GB2312" w:cs="仿宋_GB2312" w:eastAsia="仿宋_GB2312"/>
              </w:rPr>
              <w:t>采购包6：3家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p>
            <w:pPr>
              <w:pStyle w:val="null5"/>
              <w:jc w:val="left"/>
            </w:pPr>
            <w:r>
              <w:rPr>
                <w:rFonts w:ascii="仿宋_GB2312" w:hAnsi="仿宋_GB2312" w:cs="仿宋_GB2312" w:eastAsia="仿宋_GB2312"/>
              </w:rPr>
              <w:t>采购包6：1名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p>
            <w:pPr>
              <w:pStyle w:val="null5"/>
              <w:jc w:val="left"/>
            </w:pPr>
            <w:r>
              <w:rPr>
                <w:rFonts w:ascii="仿宋_GB2312" w:hAnsi="仿宋_GB2312" w:cs="仿宋_GB2312" w:eastAsia="仿宋_GB2312"/>
              </w:rPr>
              <w:t>采购包6：3名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p>
            <w:pPr>
              <w:pStyle w:val="null5"/>
              <w:jc w:val="left"/>
            </w:pPr>
            <w:r>
              <w:rPr>
                <w:rFonts w:ascii="仿宋_GB2312" w:hAnsi="仿宋_GB2312" w:cs="仿宋_GB2312" w:eastAsia="仿宋_GB2312"/>
              </w:rPr>
              <w:t>采购包6：总价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p>
            <w:pPr>
              <w:pStyle w:val="null5"/>
              <w:jc w:val="left"/>
            </w:pPr>
            <w:r>
              <w:rPr>
                <w:rFonts w:ascii="仿宋_GB2312" w:hAnsi="仿宋_GB2312" w:cs="仿宋_GB2312" w:eastAsia="仿宋_GB2312"/>
              </w:rPr>
              <w:t>采购包6：组织现场踏勘：否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陈巴尔虎旗城市管理综合行政执法局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内蒙古中浩工程项目管理有限公司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城区道路保洁、绿化维护、生活垃圾污水运输转运、市政设备设施维修、流浪狗收容中心运营管理等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陈巴尔虎旗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1、具体以签订合同为准，达到付款条件起7日，支付合同总金额的100.00%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陈巴尔虎旗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1、具体以签订合同为准，达到付款条件起7日，支付合同总金额的100.00%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陈巴尔虎旗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1、具体以签订合同为准，达到付款条件起7日，支付合同总金额的100.00%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陈巴尔虎旗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1、具体以签订合同为准，达到付款条件起7日，支付合同总金额的100.00%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陈巴尔虎旗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1、具体以签订合同为准，达到付款条件起7日，支付合同总金额的100.00%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陈巴尔虎旗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1、具体以签订合同为准，达到付款条件起7日，支付合同总金额的100.00%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标的名称：陈巴尔虎旗公共服务项目一标段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详见招标文件要求</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标的名称：陈巴尔虎旗公共服务项目二标段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详见招标文件要求</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标的名称：陈巴尔虎旗公共服务项目三标段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详见招标文件要求</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标的名称：陈巴尔虎旗公共服务项目四标段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详见招标文件要求</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标的名称：陈巴尔虎旗公共服务项目五标段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详见招标文件要求</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标的名称：陈巴尔虎旗公共服务项目六标段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详见招标文件要求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项目整体实施服务方案</w:t>
            </w:r>
          </w:p>
        </w:tc>
        <w:tc>
          <w:tcPr>
            <w:tcW w:type="dxa" w:w="3115"/>
          </w:tcPr>
          <w:p>
            <w:pPr>
              <w:pStyle w:val="null5"/>
              <w:jc w:val="left"/>
            </w:pPr>
            <w:r>
              <w:rPr>
                <w:rFonts w:ascii="仿宋_GB2312" w:hAnsi="仿宋_GB2312" w:cs="仿宋_GB2312" w:eastAsia="仿宋_GB2312"/>
              </w:rPr>
              <w:t>投标人提供的整体实施服务方案（内容包括但不限于：环卫作业精细化建 设方面，道路清扫保洁、清雪除冰、垃圾收集、环卫设施清洁等以及绿化 养护及时性等）完整详细、全面、科学、合理、适用性强、针对性程度高 等情况进行综合评审： 1.整体方案完整详细、全面、 科学、合理、适用性 强、针对性程度高得15分；2.整体服务方案一般详细、 一般合理得10分；3.不提供不得分。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人员管理方案</w:t>
            </w:r>
          </w:p>
        </w:tc>
        <w:tc>
          <w:tcPr>
            <w:tcW w:type="dxa" w:w="3115"/>
          </w:tcPr>
          <w:p>
            <w:pPr>
              <w:pStyle w:val="null5"/>
              <w:jc w:val="left"/>
            </w:pPr>
            <w:r>
              <w:rPr>
                <w:rFonts w:ascii="仿宋_GB2312" w:hAnsi="仿宋_GB2312" w:cs="仿宋_GB2312" w:eastAsia="仿宋_GB2312"/>
              </w:rPr>
              <w:t>投标人需具备良好的内部管理制度以及工人保障制度和福利制度，确保公司及人员内部稳定，投标人提供的人员管理方案（包含但不限于内部管理 制度、工人保障制度以及福利制度、人员安置措施方案、人员考核方案、人员待遇规章制度方案等）完整详细、全面、科学、合理、适用性强、针 对性程度高等情况进行综合评审： 1.整体方案完整详细、全面、科学、合 理、适用性强、针对性程度高得15分； 2.整体服务方案一般详细、合理得8分 ；3.不提供不得分。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项目应急措施</w:t>
            </w:r>
          </w:p>
        </w:tc>
        <w:tc>
          <w:tcPr>
            <w:tcW w:type="dxa" w:w="3115"/>
          </w:tcPr>
          <w:p>
            <w:pPr>
              <w:pStyle w:val="null5"/>
              <w:jc w:val="left"/>
            </w:pPr>
            <w:r>
              <w:rPr>
                <w:rFonts w:ascii="仿宋_GB2312" w:hAnsi="仿宋_GB2312" w:cs="仿宋_GB2312" w:eastAsia="仿宋_GB2312"/>
              </w:rPr>
              <w:t>投标人提供的应急保障措施（包含但不限于执行方案、重大活动 应急保障 方案、迎检应急保障方案）完整详细、全面、科学、合理、适用性强、针对性程度高等情况，综合评审： 1.应急保障措施完整详细、全面、 科学、 合理、适用性强、针对性程度高得15分； 2.应急保障措施一般详细、合理得8分 ; 3.不提供不得分。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安全保障措施</w:t>
            </w:r>
          </w:p>
        </w:tc>
        <w:tc>
          <w:tcPr>
            <w:tcW w:type="dxa" w:w="3115"/>
          </w:tcPr>
          <w:p>
            <w:pPr>
              <w:pStyle w:val="null5"/>
              <w:jc w:val="left"/>
            </w:pPr>
            <w:r>
              <w:rPr>
                <w:rFonts w:ascii="仿宋_GB2312" w:hAnsi="仿宋_GB2312" w:cs="仿宋_GB2312" w:eastAsia="仿宋_GB2312"/>
              </w:rPr>
              <w:t>投标人针对本项目制定的安全保障措施（包含但不限于安全作业管理制度 和措施、安全作业培训等）是否全面、合理、切实可行进行综合评审： 1. 安全保障措施完整详细、全面、科学、合理、适用性强、针对性程度高得 8分； 2. 安全保障措施一般详细、 合理得3分；3.不提供不得分。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现有环卫工人接收方案</w:t>
            </w:r>
          </w:p>
        </w:tc>
        <w:tc>
          <w:tcPr>
            <w:tcW w:type="dxa" w:w="3115"/>
          </w:tcPr>
          <w:p>
            <w:pPr>
              <w:pStyle w:val="null5"/>
              <w:jc w:val="left"/>
            </w:pPr>
            <w:r>
              <w:rPr>
                <w:rFonts w:ascii="仿宋_GB2312" w:hAnsi="仿宋_GB2312" w:cs="仿宋_GB2312" w:eastAsia="仿宋_GB2312"/>
              </w:rPr>
              <w:t>在全部响应《采购文件》中全部接收现有环卫工人基础上，投标人应编制 现有环卫工人的接收方案，方案应详细描述接收现有环卫工人的工作程序 步骤、岗位安排和配置、工人薪酬和福利待遇等具体内容。方案符合项目 要求、具体详细且合理可行的得7分；方案一般的得3分；其他得0分。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财务情况</w:t>
            </w:r>
          </w:p>
        </w:tc>
        <w:tc>
          <w:tcPr>
            <w:tcW w:type="dxa" w:w="3115"/>
          </w:tcPr>
          <w:p>
            <w:pPr>
              <w:pStyle w:val="null5"/>
              <w:jc w:val="left"/>
            </w:pPr>
            <w:r>
              <w:rPr>
                <w:rFonts w:ascii="仿宋_GB2312" w:hAnsi="仿宋_GB2312" w:cs="仿宋_GB2312" w:eastAsia="仿宋_GB2312"/>
              </w:rPr>
              <w:t>提供企业2021年至2023年或2022年至2024年财务审计报告（需包含经 审计后的资产负债表、现金流量表、损益表），每提供一年得1分，最多得3分，不提供不得分。 若投标人的成立时间少于规定年份的，应提供成立以来的财务状况表并视为满分。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投标人近三年来 (2021年1月1日至今) 承揽过类似项目业绩,每提供一项得3.5分，最多得7分。备注：属于政府投资项目，业绩必须提供中标通知书和合同，二者缺一不可；属于非政府投资项目，业绩必须提供合同。</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项目整体实施服务方案</w:t>
            </w:r>
          </w:p>
        </w:tc>
        <w:tc>
          <w:tcPr>
            <w:tcW w:type="dxa" w:w="3115"/>
          </w:tcPr>
          <w:p>
            <w:pPr>
              <w:pStyle w:val="null5"/>
              <w:jc w:val="left"/>
            </w:pPr>
            <w:r>
              <w:rPr>
                <w:rFonts w:ascii="仿宋_GB2312" w:hAnsi="仿宋_GB2312" w:cs="仿宋_GB2312" w:eastAsia="仿宋_GB2312"/>
              </w:rPr>
              <w:t>投标人提供的整体实施服务方案（内容包括但不限于：环卫作业精细化建 设方面，道路清扫保洁、清雪除冰、垃圾收集、环卫设施清洁等以及绿化 养护及时性等）完整详细、全面、科学、合理、适用性强、针对性程度高 等情况进行综合评审： 1.整体方案完整详细、全面、 科学、合理、适用性 强、针对性程度高得15分；2.整体服务方案一般详细、 一般合理得10分；3.不提供不得分。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人员管理方案</w:t>
            </w:r>
          </w:p>
        </w:tc>
        <w:tc>
          <w:tcPr>
            <w:tcW w:type="dxa" w:w="3115"/>
          </w:tcPr>
          <w:p>
            <w:pPr>
              <w:pStyle w:val="null5"/>
              <w:jc w:val="left"/>
            </w:pPr>
            <w:r>
              <w:rPr>
                <w:rFonts w:ascii="仿宋_GB2312" w:hAnsi="仿宋_GB2312" w:cs="仿宋_GB2312" w:eastAsia="仿宋_GB2312"/>
              </w:rPr>
              <w:t>投标人需具备良好的内部管理制度以及工人保障制度和福利制度，确保公司及人员内部稳定，投标人提供的人员管理方案（包含但不限于内部管理 制度、工人保障制度以及福利制度、人员安置措施方案、人员考核方案、人员待遇规章制度方案等）完整详细、全面、科学、合理、适用性强、针 对性程度高等情况进行综合评审： 1.整体方案完整详细、全面、科学、合 理、适用性强、针对性程度高得15分； 2.整体服务方案一般详细、合理得8分 ；3.不提供不得分。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项目应急措施</w:t>
            </w:r>
          </w:p>
        </w:tc>
        <w:tc>
          <w:tcPr>
            <w:tcW w:type="dxa" w:w="3115"/>
          </w:tcPr>
          <w:p>
            <w:pPr>
              <w:pStyle w:val="null5"/>
              <w:jc w:val="left"/>
            </w:pPr>
            <w:r>
              <w:rPr>
                <w:rFonts w:ascii="仿宋_GB2312" w:hAnsi="仿宋_GB2312" w:cs="仿宋_GB2312" w:eastAsia="仿宋_GB2312"/>
              </w:rPr>
              <w:t>投标人提供的应急保障措施（包含但不限于执行方案、重大活动 应急保障 方案、迎检应急保障方案）完整详细、全面、科学、合理、适用性强、针对性程度高等情况，综合评审： 1.应急保障措施完整详细、全面、 科学、 合理、适用性强、针对性程度高得15分； 2.应急保障措施一般详细、合理得8分 ; 3.不提供不得分。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安全保障措施</w:t>
            </w:r>
          </w:p>
        </w:tc>
        <w:tc>
          <w:tcPr>
            <w:tcW w:type="dxa" w:w="3115"/>
          </w:tcPr>
          <w:p>
            <w:pPr>
              <w:pStyle w:val="null5"/>
              <w:jc w:val="left"/>
            </w:pPr>
            <w:r>
              <w:rPr>
                <w:rFonts w:ascii="仿宋_GB2312" w:hAnsi="仿宋_GB2312" w:cs="仿宋_GB2312" w:eastAsia="仿宋_GB2312"/>
              </w:rPr>
              <w:t>投标人针对本项目制定的安全保障措施（包含但不限于安全作业管理制度 和措施、安全作业培训等）是否全面、合理、切实可行进行综合评审： 1. 安全保障措施完整详细、全面、科学、合理、适用性强、针对性程度高得 8分； 2. 安全保障措施一般详细、 合理得3分；3.不提供不得分。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现有环卫工人接收方案</w:t>
            </w:r>
          </w:p>
        </w:tc>
        <w:tc>
          <w:tcPr>
            <w:tcW w:type="dxa" w:w="3115"/>
          </w:tcPr>
          <w:p>
            <w:pPr>
              <w:pStyle w:val="null5"/>
              <w:jc w:val="left"/>
            </w:pPr>
            <w:r>
              <w:rPr>
                <w:rFonts w:ascii="仿宋_GB2312" w:hAnsi="仿宋_GB2312" w:cs="仿宋_GB2312" w:eastAsia="仿宋_GB2312"/>
              </w:rPr>
              <w:t>在全部响应《采购文件》中全部接收现有环卫工人基础上，投标人应编制 现有环卫工人的接收方案，方案应详细描述接收现有环卫工人的工作程序 步骤、岗位安排和配置、工人薪酬和福利待遇等具体内容。方案符合项目 要求、具体详细且合理可行的得7分；方案一般的得3分；其他得0分。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财务情况</w:t>
            </w:r>
          </w:p>
        </w:tc>
        <w:tc>
          <w:tcPr>
            <w:tcW w:type="dxa" w:w="3115"/>
          </w:tcPr>
          <w:p>
            <w:pPr>
              <w:pStyle w:val="null5"/>
              <w:jc w:val="left"/>
            </w:pPr>
            <w:r>
              <w:rPr>
                <w:rFonts w:ascii="仿宋_GB2312" w:hAnsi="仿宋_GB2312" w:cs="仿宋_GB2312" w:eastAsia="仿宋_GB2312"/>
              </w:rPr>
              <w:t>提供企业2021年至2023年或2022年至2024年财务审计报告（需包含经 审计后的资产负债表、现金流量表、损益表），每提供一年得1分，最多得3分，不提供不得分。 若投标人的成立时间少于规定年份的，应提供成立以来的财务状况表并视为满分。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投标人近三年来 (2021年1月1日至今) 承揽过类似项目业绩,每提供一项得3.5分，最多得7分。备注：属于政府投资项目，业绩必须提供中标通知书和合同，二者缺一不可；属于非政府投资项目，业绩必须提供合同。</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项目整体实施服务方案</w:t>
            </w:r>
          </w:p>
        </w:tc>
        <w:tc>
          <w:tcPr>
            <w:tcW w:type="dxa" w:w="3115"/>
          </w:tcPr>
          <w:p>
            <w:pPr>
              <w:pStyle w:val="null5"/>
              <w:jc w:val="left"/>
            </w:pPr>
            <w:r>
              <w:rPr>
                <w:rFonts w:ascii="仿宋_GB2312" w:hAnsi="仿宋_GB2312" w:cs="仿宋_GB2312" w:eastAsia="仿宋_GB2312"/>
              </w:rPr>
              <w:t>投标人提供的整体实施服务方案（内容包括但不限于：环卫作业精细化建 设方面，道路清扫保洁、清雪除冰、垃圾收集、环卫设施清洁等以及绿化 养护及时性等）完整详细、全面、科学、合理、适用性强、针对性程度高 等情况进行综合评审： 1.整体方案完整详细、全面、 科学、合理、适用性 强、针对性程度高得15分；2.整体服务方案一般详细、 一般合理得10分；3.不提供不得分。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人员管理方案</w:t>
            </w:r>
          </w:p>
        </w:tc>
        <w:tc>
          <w:tcPr>
            <w:tcW w:type="dxa" w:w="3115"/>
          </w:tcPr>
          <w:p>
            <w:pPr>
              <w:pStyle w:val="null5"/>
              <w:jc w:val="left"/>
            </w:pPr>
            <w:r>
              <w:rPr>
                <w:rFonts w:ascii="仿宋_GB2312" w:hAnsi="仿宋_GB2312" w:cs="仿宋_GB2312" w:eastAsia="仿宋_GB2312"/>
              </w:rPr>
              <w:t>投标人需具备良好的内部管理制度以及工人保障制度和福利制度，确保公司及人员内部稳定，投标人提供的人员管理方案（包含但不限于内部管理 制度、工人保障制度以及福利制度、人员安置措施方案、人员考核方案、人员待遇规章制度方案等）完整详细、全面、科学、合理、适用性强、针 对性程度高等情况进行综合评审： 1.整体方案完整详细、全面、科学、合 理、适用性强、针对性程度高得15分； 2.整体服务方案一般详细、合理得8分 ；3.不提供不得分。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项目应急措施</w:t>
            </w:r>
          </w:p>
        </w:tc>
        <w:tc>
          <w:tcPr>
            <w:tcW w:type="dxa" w:w="3115"/>
          </w:tcPr>
          <w:p>
            <w:pPr>
              <w:pStyle w:val="null5"/>
              <w:jc w:val="left"/>
            </w:pPr>
            <w:r>
              <w:rPr>
                <w:rFonts w:ascii="仿宋_GB2312" w:hAnsi="仿宋_GB2312" w:cs="仿宋_GB2312" w:eastAsia="仿宋_GB2312"/>
              </w:rPr>
              <w:t>投标人提供的应急保障措施（包含但不限于执行方案、重大活动 应急保障 方案、迎检应急保障方案）完整详细、全面、科学、合理、适用性强、针对性程度高等情况，综合评审： 1.应急保障措施完整详细、全面、 科学、 合理、适用性强、针对性程度高得15分； 2.应急保障措施一般详细、合理得8分 ; 3.不提供不得分。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安全保障措施</w:t>
            </w:r>
          </w:p>
        </w:tc>
        <w:tc>
          <w:tcPr>
            <w:tcW w:type="dxa" w:w="3115"/>
          </w:tcPr>
          <w:p>
            <w:pPr>
              <w:pStyle w:val="null5"/>
              <w:jc w:val="left"/>
            </w:pPr>
            <w:r>
              <w:rPr>
                <w:rFonts w:ascii="仿宋_GB2312" w:hAnsi="仿宋_GB2312" w:cs="仿宋_GB2312" w:eastAsia="仿宋_GB2312"/>
              </w:rPr>
              <w:t>投标人针对本项目制定的安全保障措施（包含但不限于安全作业管理制度 和措施、安全作业培训等）是否全面、合理、切实可行进行综合评审： 1. 安全保障措施完整详细、全面、科学、合理、适用性强、针对性程度高得 8分； 2. 安全保障措施一般详细、 合理得3分；3.不提供不得分。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现有环卫工人接收方案</w:t>
            </w:r>
          </w:p>
        </w:tc>
        <w:tc>
          <w:tcPr>
            <w:tcW w:type="dxa" w:w="3115"/>
          </w:tcPr>
          <w:p>
            <w:pPr>
              <w:pStyle w:val="null5"/>
              <w:jc w:val="left"/>
            </w:pPr>
            <w:r>
              <w:rPr>
                <w:rFonts w:ascii="仿宋_GB2312" w:hAnsi="仿宋_GB2312" w:cs="仿宋_GB2312" w:eastAsia="仿宋_GB2312"/>
              </w:rPr>
              <w:t>在全部响应《采购文件》中全部接收现有环卫工人基础上，投标人应编制 现有环卫工人的接收方案，方案应详细描述接收现有环卫工人的工作程序 步骤、岗位安排和配置、工人薪酬和福利待遇等具体内容。方案符合项目 要求、具体详细且合理可行的得7分；方案一般的得3分；其他得0分。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财务情况</w:t>
            </w:r>
          </w:p>
        </w:tc>
        <w:tc>
          <w:tcPr>
            <w:tcW w:type="dxa" w:w="3115"/>
          </w:tcPr>
          <w:p>
            <w:pPr>
              <w:pStyle w:val="null5"/>
              <w:jc w:val="left"/>
            </w:pPr>
            <w:r>
              <w:rPr>
                <w:rFonts w:ascii="仿宋_GB2312" w:hAnsi="仿宋_GB2312" w:cs="仿宋_GB2312" w:eastAsia="仿宋_GB2312"/>
              </w:rPr>
              <w:t>提供企业2021年至2023年或2022年至2024年财务审计报告（需包含经 审计后的资产负债表、现金流量表、损益表），每提供一年得1分，最多得3分，不提供不得分。 若投标人的成立时间少于规定年份的，应提供成立以来的财务状况表并视为满分。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投标人近三年来 (2021年1月1日至今) 承揽过类似项目业绩,每提供一项得3.5分，最多得7分。备注：属于政府投资项目，业绩必须提供中标通知书和合同，二者缺一不可；属于非政府投资项目，业绩必须提供合同。</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内容完整且编制合理做多10分；内容基本完整且编制基本合理最多5 分；内容不完整且编制不合理的不得分。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项目方案</w:t>
            </w:r>
          </w:p>
        </w:tc>
        <w:tc>
          <w:tcPr>
            <w:tcW w:type="dxa" w:w="3115"/>
          </w:tcPr>
          <w:p>
            <w:pPr>
              <w:pStyle w:val="null5"/>
              <w:jc w:val="left"/>
            </w:pPr>
            <w:r>
              <w:rPr>
                <w:rFonts w:ascii="仿宋_GB2312" w:hAnsi="仿宋_GB2312" w:cs="仿宋_GB2312" w:eastAsia="仿宋_GB2312"/>
              </w:rPr>
              <w:t>编制一份实施方案， 目标明确、层次清晰、工作方法务实、能抓住风险控制关键环节并防范有效、人员组织恰当、工作内容周全等，内容完整且编 制合理13分；内容基本完整且编制基本合理最多7分；内容不完整且编制不合理的不得分</w:t>
            </w:r>
          </w:p>
        </w:tc>
        <w:tc>
          <w:tcPr>
            <w:tcW w:type="dxa" w:w="1038"/>
          </w:tcPr>
          <w:p>
            <w:pPr>
              <w:pStyle w:val="null5"/>
              <w:jc w:val="right"/>
            </w:pPr>
            <w:r>
              <w:rPr>
                <w:rFonts w:ascii="仿宋_GB2312" w:hAnsi="仿宋_GB2312" w:cs="仿宋_GB2312" w:eastAsia="仿宋_GB2312"/>
              </w:rPr>
              <w:t>13.00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收运服务服务的整体设想及策划</w:t>
            </w:r>
          </w:p>
        </w:tc>
        <w:tc>
          <w:tcPr>
            <w:tcW w:type="dxa" w:w="3115"/>
          </w:tcPr>
          <w:p>
            <w:pPr>
              <w:pStyle w:val="null5"/>
              <w:jc w:val="left"/>
            </w:pPr>
            <w:r>
              <w:rPr>
                <w:rFonts w:ascii="仿宋_GB2312" w:hAnsi="仿宋_GB2312" w:cs="仿宋_GB2312" w:eastAsia="仿宋_GB2312"/>
              </w:rPr>
              <w:t>收运服务的整体设想及策划安排合理、措施得当，组织实施科学、效率高 , 能满足采购项目要求，有优质保障的得10分；方案基本可行，有一定 保障的得6分；不合理的不得分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收运服务管理质量管理体系与措 施</w:t>
            </w:r>
          </w:p>
        </w:tc>
        <w:tc>
          <w:tcPr>
            <w:tcW w:type="dxa" w:w="3115"/>
          </w:tcPr>
          <w:p>
            <w:pPr>
              <w:pStyle w:val="null5"/>
              <w:jc w:val="left"/>
            </w:pPr>
            <w:r>
              <w:rPr>
                <w:rFonts w:ascii="仿宋_GB2312" w:hAnsi="仿宋_GB2312" w:cs="仿宋_GB2312" w:eastAsia="仿宋_GB2312"/>
              </w:rPr>
              <w:t>质量管理体系与措施的合理得6分，基本合理得3分，不合理不得分。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环境保护管理体系健全最多得8分，技术及管理措施可行性最多得4分，不合理不得分。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资源配备计划（拟投入的设备、劳动力、资金等）完善的得6分，基本完善的得4分，没有的不得分。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应急处理措施</w:t>
            </w:r>
          </w:p>
        </w:tc>
        <w:tc>
          <w:tcPr>
            <w:tcW w:type="dxa" w:w="3115"/>
          </w:tcPr>
          <w:p>
            <w:pPr>
              <w:pStyle w:val="null5"/>
              <w:jc w:val="left"/>
            </w:pPr>
            <w:r>
              <w:rPr>
                <w:rFonts w:ascii="仿宋_GB2312" w:hAnsi="仿宋_GB2312" w:cs="仿宋_GB2312" w:eastAsia="仿宋_GB2312"/>
              </w:rPr>
              <w:t>根据供应商提供针对本项目的应急处理措施进行评审，包括应急预案、应急演练、应急管理机构等进行评审，内容完整合理且有针对性得7分，一般得3分，较差得0分。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投标人近三年来 (2021年1月1日至今) 承揽过类似项目业绩,每提供一项得3.5分，最多得7分。备注：属于政府投资项目，业绩必须提供中标通知书和合同，二者缺一不可；属于非政府投资项目，业绩必须提供合同。</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财务情况</w:t>
            </w:r>
          </w:p>
        </w:tc>
        <w:tc>
          <w:tcPr>
            <w:tcW w:type="dxa" w:w="3115"/>
          </w:tcPr>
          <w:p>
            <w:pPr>
              <w:pStyle w:val="null5"/>
              <w:jc w:val="left"/>
            </w:pPr>
            <w:r>
              <w:rPr>
                <w:rFonts w:ascii="仿宋_GB2312" w:hAnsi="仿宋_GB2312" w:cs="仿宋_GB2312" w:eastAsia="仿宋_GB2312"/>
              </w:rPr>
              <w:t>提供企业2021年至2023年或2022年至2024年财务审计报告（需包含经 审计后的资产负债表、现金流量表、损益表），每提供一年得1分，最多得3分，不提供不得分。 若投标人的成立时间少于规定年份的，应提供成立以来的财务状况表并视为满分。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内容完整且编制合理的得6分；内容基本完整且编制基本合理的得3分；内容不完整且编制不合理的不得分 。</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施工方案合理可行，技术措施对工程质量、工期和安全有充分保障的得15 分；施工方案基本可行技术措施对工程质量、工期和安全有部分保障的得5分；不合理的不得分。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安全管理体系与措施完善得10分，基本完善的得5分，不完善的不得分。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质量、环境保护管理体系与措施</w:t>
            </w:r>
          </w:p>
        </w:tc>
        <w:tc>
          <w:tcPr>
            <w:tcW w:type="dxa" w:w="3115"/>
          </w:tcPr>
          <w:p>
            <w:pPr>
              <w:pStyle w:val="null5"/>
              <w:jc w:val="left"/>
            </w:pPr>
            <w:r>
              <w:rPr>
                <w:rFonts w:ascii="仿宋_GB2312" w:hAnsi="仿宋_GB2312" w:cs="仿宋_GB2312" w:eastAsia="仿宋_GB2312"/>
              </w:rPr>
              <w:t>质量、环境保护管理及措施合理可行的得10分， 基本合理的得5分，不合理不得分。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资源配备计划（拟投入的设备、劳动力、资金等）配置合理，完全满足项 目建设要求的得10分基本满足的得5分，不满足的不得分。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工程进度计划与措施完善合理的得9分，基本合理的得4分，不合理的不得分。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财务情况</w:t>
            </w:r>
          </w:p>
        </w:tc>
        <w:tc>
          <w:tcPr>
            <w:tcW w:type="dxa" w:w="3115"/>
          </w:tcPr>
          <w:p>
            <w:pPr>
              <w:pStyle w:val="null5"/>
              <w:jc w:val="left"/>
            </w:pPr>
            <w:r>
              <w:rPr>
                <w:rFonts w:ascii="仿宋_GB2312" w:hAnsi="仿宋_GB2312" w:cs="仿宋_GB2312" w:eastAsia="仿宋_GB2312"/>
              </w:rPr>
              <w:t>提供企业2021年至2023年或2022年至2024年财务审计报告（需包含经 审计后的资产负债表、现金流量表、损益表），每提供一年得1分，最多得3分，不提供不得分。 若投标人的成立时间少于规定年份的，应提供成立以来的财务状况表并视为满分。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企业近3年内（2021年1月1日起至投标截止时间）承担过类似本工程的项目，投标人提供类似项目业绩，有一项得3.5分，最多得7分。（属于政府财政投资项目，业绩必须具备中标通知书、施工合同（关键页）和竣工报告；属于非政府投资项目，业绩必须具备施工合同（关键页）和竣工验收报告）。 注： 1.近三年指2021年01月01日起至投标截止日止； 2.业绩有效日期以竣工时间为准。 3.投标文件中附相关业绩证明材料扫描复印件并加盖单位公章，且所提供的合同必须包括合同首页、合同金额所在页、签字盖章页、合同标的页。 4.类似项目是指：在中华人民共和国境内的类似本工程的项目。 5.转包合同均不计入业绩得分。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组织实施方案</w:t>
            </w:r>
          </w:p>
        </w:tc>
        <w:tc>
          <w:tcPr>
            <w:tcW w:type="dxa" w:w="3115"/>
          </w:tcPr>
          <w:p>
            <w:pPr>
              <w:pStyle w:val="null5"/>
              <w:jc w:val="left"/>
            </w:pPr>
            <w:r>
              <w:rPr>
                <w:rFonts w:ascii="仿宋_GB2312" w:hAnsi="仿宋_GB2312" w:cs="仿宋_GB2312" w:eastAsia="仿宋_GB2312"/>
              </w:rPr>
              <w:t>1. 根据收留场所的改造、维护方案的科学合理性进行综合评议。优得 5 分 ,一般得2分，差不得分。 2. 根据供应商拟投入项目的车辆、捕捉设备情况进行综合评议。优得5分，一般得2分 , 差不得分。 3. 根据收留场所的管理方案（包括但不限于场舍清洁、 消 毒等工作安排）的科学合理性进行综合评议。优得10分，一般得4分，差不得分。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安全保障方案</w:t>
            </w:r>
          </w:p>
        </w:tc>
        <w:tc>
          <w:tcPr>
            <w:tcW w:type="dxa" w:w="3115"/>
          </w:tcPr>
          <w:p>
            <w:pPr>
              <w:pStyle w:val="null5"/>
              <w:jc w:val="left"/>
            </w:pPr>
            <w:r>
              <w:rPr>
                <w:rFonts w:ascii="仿宋_GB2312" w:hAnsi="仿宋_GB2312" w:cs="仿宋_GB2312" w:eastAsia="仿宋_GB2312"/>
              </w:rPr>
              <w:t>根据安全保障方案的科学合理性进行综合评议，优得 5分， 一般得2分，差不得分。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应急处理方案</w:t>
            </w:r>
          </w:p>
        </w:tc>
        <w:tc>
          <w:tcPr>
            <w:tcW w:type="dxa" w:w="3115"/>
          </w:tcPr>
          <w:p>
            <w:pPr>
              <w:pStyle w:val="null5"/>
              <w:jc w:val="left"/>
            </w:pPr>
            <w:r>
              <w:rPr>
                <w:rFonts w:ascii="仿宋_GB2312" w:hAnsi="仿宋_GB2312" w:cs="仿宋_GB2312" w:eastAsia="仿宋_GB2312"/>
              </w:rPr>
              <w:t>根据应急处理方案的科学合理性进行综合评议，优得 5分， 一般得2分，差不得分。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服务理念</w:t>
            </w:r>
          </w:p>
        </w:tc>
        <w:tc>
          <w:tcPr>
            <w:tcW w:type="dxa" w:w="3115"/>
          </w:tcPr>
          <w:p>
            <w:pPr>
              <w:pStyle w:val="null5"/>
              <w:jc w:val="left"/>
            </w:pPr>
            <w:r>
              <w:rPr>
                <w:rFonts w:ascii="仿宋_GB2312" w:hAnsi="仿宋_GB2312" w:cs="仿宋_GB2312" w:eastAsia="仿宋_GB2312"/>
              </w:rPr>
              <w:t>根据实施方案是否符合相关规定的情况，并具有诚心服务、耐心服务、细心服务、暖心服务、爱心服务。根据全面性、可行性和合理性，优得 5分 , 一般得3分，差不得分。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根据管理制度是否内容齐全、职责划分是否明确、工作规范是否可行、监管措施是否得力、工作流程是否清晰科学、奖惩措施是否合理可行等。本项由评标委员会根据国家规定和行业标准进行评定得分。 优得15 分；一般得 8分；差不得分。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投标人近年内（指2022年1月1日至今）具有服务相关业绩，每提供一项业绩得4分，最多的12分。需提供中标通知书或合同。1. 以合同签订日期为准。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根据服务承诺方案（包括但不限于：服务时效性、响应时间等）的科学合理性进行综合评议。优得 5分， 一般得 2分，差不得分。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财务状况</w:t>
            </w:r>
          </w:p>
        </w:tc>
        <w:tc>
          <w:tcPr>
            <w:tcW w:type="dxa" w:w="3115"/>
          </w:tcPr>
          <w:p>
            <w:pPr>
              <w:pStyle w:val="null5"/>
              <w:jc w:val="left"/>
            </w:pPr>
            <w:r>
              <w:rPr>
                <w:rFonts w:ascii="仿宋_GB2312" w:hAnsi="仿宋_GB2312" w:cs="仿宋_GB2312" w:eastAsia="仿宋_GB2312"/>
              </w:rPr>
              <w:t>提供企业2021年至2023年或2022年至2024年财务审计报告（需包含经 审计后的资产负债表、现金流量表、损益表），每提供一年得1分，最多得3分，不提供不得分。 若投标人的成立时间少于规定年份的，应提供成立以来的财务状况表并视为满分。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采购包6：</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