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2025年度绩效评价及服务项目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陈巴尔虎旗财政局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佳诺建设工程项目管理有限公司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HZCCQS-C-F-250001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佳诺建设工程项目管理有限公司</w:t>
      </w:r>
      <w:r>
        <w:rPr>
          <w:rFonts w:ascii="仿宋_GB2312" w:hAnsi="仿宋_GB2312" w:cs="仿宋_GB2312" w:eastAsia="仿宋_GB2312"/>
        </w:rPr>
        <w:t xml:space="preserve"> 受 </w:t>
      </w:r>
      <w:r>
        <w:rPr>
          <w:rFonts w:ascii="仿宋_GB2312" w:hAnsi="仿宋_GB2312" w:cs="仿宋_GB2312" w:eastAsia="仿宋_GB2312"/>
        </w:rPr>
        <w:t>陈巴尔虎旗财政局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2025年度绩效评价及服务项目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2025年度绩效评价及服务项目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HZCCQS-C-F-250001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陈政采计划[2025]00008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陈巴尔虎旗财政局2025年度绩效评价及服务项目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1,280,000.00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佳诺建设工程项目管理有限公司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15598446198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陈巴尔虎旗财政局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陈巴尔虎旗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王婷婷</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15104983301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代理服务费收费标准：采购机构代理服务收费标准：参照原内蒙古自治区工程建设协会【2022】34号文件收取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陈巴尔虎旗财政局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佳诺建设工程项目管理有限公司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为陈巴尔虎旗财政局2025年度提供绩效评价及服务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自合同签订之日起至2025年12月31日完成。（具体以合同签订为准）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1、签订合同后采购人向中标人支付（具体付款比例及支付时间以最终签订合同为准），达到付款条件起7日，支付合同总金额的30.00%</w:t>
            </w:r>
          </w:p>
          <w:p>
            <w:pPr>
              <w:pStyle w:val="null5"/>
              <w:jc w:val="left"/>
            </w:pPr>
            <w:r>
              <w:rPr>
                <w:rFonts w:ascii="仿宋_GB2312" w:hAnsi="仿宋_GB2312" w:cs="仿宋_GB2312" w:eastAsia="仿宋_GB2312"/>
              </w:rPr>
              <w:t>2、完成项目绩效评价工作，并出具成果性文件后支付（具体付款比例及支付时间以最终签订合同为准），达到付款条件起7日，支付合同总金额的40.00%</w:t>
            </w:r>
          </w:p>
          <w:p>
            <w:pPr>
              <w:pStyle w:val="null5"/>
              <w:jc w:val="left"/>
            </w:pPr>
            <w:r>
              <w:rPr>
                <w:rFonts w:ascii="仿宋_GB2312" w:hAnsi="仿宋_GB2312" w:cs="仿宋_GB2312" w:eastAsia="仿宋_GB2312"/>
              </w:rPr>
              <w:t>3、完成项目绩效评价工作并完成最终验收后支付剩余费用（具体付款比例及支付时间以最终签订合同为准），达到付款条件起7日，支付合同总金额的30.00%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投标有效期：从提交投标文件的截止之日起90日历天</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标的名称：陈巴尔虎旗财政局2025年度绩效评价及服务项目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一.具体工作内容及要求</w:t>
            </w:r>
            <w:r>
              <w:br/>
            </w:r>
            <w:r>
              <w:rPr>
                <w:rFonts w:ascii="仿宋_GB2312" w:hAnsi="仿宋_GB2312" w:cs="仿宋_GB2312" w:eastAsia="仿宋_GB2312"/>
              </w:rPr>
              <w:t xml:space="preserve"> 1、指标库建设梳理：构建分行业、分领域、分层次的核心绩效指标和标准体系，做到与基本公共服务标准、部门预算项目支出标准等衔接匹配，突出结果导向，重点考核实绩。科学合理、细化量化、可比可测、动态调整、共建共享等内容。</w:t>
            </w:r>
            <w:r>
              <w:br/>
            </w:r>
            <w:r>
              <w:rPr>
                <w:rFonts w:ascii="仿宋_GB2312" w:hAnsi="仿宋_GB2312" w:cs="仿宋_GB2312" w:eastAsia="仿宋_GB2312"/>
              </w:rPr>
              <w:t xml:space="preserve"> 2.绩效目标填报、培训、审核：对绩效目标文本规范性和完整性进行辅导及审查。研究项目内容和政策，对指标准确性和有效性进行审核，对预算单位进行辅导填报，出具总报告等内容。</w:t>
            </w:r>
            <w:r>
              <w:br/>
            </w:r>
            <w:r>
              <w:rPr>
                <w:rFonts w:ascii="仿宋_GB2312" w:hAnsi="仿宋_GB2312" w:cs="仿宋_GB2312" w:eastAsia="仿宋_GB2312"/>
              </w:rPr>
              <w:t xml:space="preserve"> 3.事前绩效评估：①按规定程序完成的事前绩效评估②对政策设立进行论证评估，复杂性项目</w:t>
            </w:r>
            <w:r>
              <w:br/>
            </w:r>
            <w:r>
              <w:rPr>
                <w:rFonts w:ascii="仿宋_GB2312" w:hAnsi="仿宋_GB2312" w:cs="仿宋_GB2312" w:eastAsia="仿宋_GB2312"/>
              </w:rPr>
              <w:t xml:space="preserve"> 选取项目条件：运用科学合理的评估方法，对财政支出重大项目（政策）绩效目标合理性、项目预算科学性、设立必要性、实施方案可行性、筹资合规性等进行客观、公正的评估等内容。</w:t>
            </w:r>
            <w:r>
              <w:br/>
            </w:r>
            <w:r>
              <w:rPr>
                <w:rFonts w:ascii="仿宋_GB2312" w:hAnsi="仿宋_GB2312" w:cs="仿宋_GB2312" w:eastAsia="仿宋_GB2312"/>
              </w:rPr>
              <w:t xml:space="preserve"> 4.绩效监控填报、培训、审核：对监控表培训、辅导、咨询。对监控表文本规范性和完整性进行审核。跟踪重点项目执行情况，需要对项目实施进程、资金支出进度、资金管理状况、绩效目标完成进度等情况进行阶段性跟踪管理和监督检查，出具分报告等内容。</w:t>
            </w:r>
            <w:r>
              <w:br/>
            </w:r>
            <w:r>
              <w:rPr>
                <w:rFonts w:ascii="仿宋_GB2312" w:hAnsi="仿宋_GB2312" w:cs="仿宋_GB2312" w:eastAsia="仿宋_GB2312"/>
              </w:rPr>
              <w:t xml:space="preserve"> 5.事后评价：对预算绩效自评培训、辅导、咨询；对自评规范性、准确性、完整性等进行审核，出具审核意见及得分分报告等内容</w:t>
            </w:r>
            <w:r>
              <w:br/>
            </w:r>
            <w:r>
              <w:rPr>
                <w:rFonts w:ascii="仿宋_GB2312" w:hAnsi="仿宋_GB2312" w:cs="仿宋_GB2312" w:eastAsia="仿宋_GB2312"/>
              </w:rPr>
              <w:t xml:space="preserve"> 6、重点项目评价：选取10个项目和2个部门开展重点绩效评价工作，要求涵盖一般公共预算、政府性基金、社会保险基金、国有资本经营，且包含政府性债券项目及采购项目，出具重点项目评价报告。以上服务内容不应理解为本项目的全部服务内容，供应商应完成采购人提出的其他关于本项目的服务内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审查供应商有效的营业执照或事业单位法人证书或执业许可证或自然人的身份证明等资料。</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审查供应商具有良好的商业信誉和健全的财务会计制度的证明材料（须提供供应商2023年 度或2024年度经会计师事务所出具的财务审计报告或其基本开户银行出具的近一年内的银行资信证明或 具有良好的商业信誉和健全的财务会计制度的承诺函）。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1.提供递交投标文件截止之日前一年内（任意一个月）的良好缴纳税收的相关凭据。（以税务机关提供的纳税凭据或银行入账单为准）2.提供递交响应文件截止之日前一年内（任意一 个月）缴纳社会保险的凭证。（以专用收据或社会保险缴纳清单为准）或提供“有依法缴纳税收和社会保障资金的良好记录”的承诺。</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审查“参加本采购活动前3年内在经营活动中没有重大违法记录”供应商书面声明。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开标结束后资格审查时，供应商未被列入失信被执行人、重大税收违法案件当事人名单、政府采购严重违法失信行为记录名单。（以评审现场查询为准）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根据供应商对项目的理解程度进行评价，包括：①对本项目的认识及理解程度；②对资金管理及项目实现目标的分析。 每项最多得3分，每项 内容存在缺陷或不足的最多扣3分，不提供不得分。（注：缺陷或不足是指非专 门针对本项目、不适用项目实际情形内容不完整、缺少关键节点只有简单 描述无实质性内容、套用其它项目方案、内容前后矛盾、涉及的规范及标 准错误、地点区域错误、不利于项目实施。）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整体实施计划</w:t>
            </w:r>
          </w:p>
        </w:tc>
        <w:tc>
          <w:tcPr>
            <w:tcW w:type="dxa" w:w="3115"/>
          </w:tcPr>
          <w:p>
            <w:pPr>
              <w:pStyle w:val="null5"/>
              <w:jc w:val="left"/>
            </w:pPr>
            <w:r>
              <w:rPr>
                <w:rFonts w:ascii="仿宋_GB2312" w:hAnsi="仿宋_GB2312" w:cs="仿宋_GB2312" w:eastAsia="仿宋_GB2312"/>
              </w:rPr>
              <w:t>根据供应商提供的整体实施计划进行评价，包括：①绩效评价的工作流程 ；②绩效评价的工作方法。 每项最多得3分，每项内容存在缺陷或不足的最多扣3 分，不提供不得分。（注：缺陷或不足是指非专门针对本项目、不适用项 目实际情形内容不完整、缺少关键节点只有简单描述无实质性内容、套用 其它项目方案、内容前后矛盾、涉及的规范及标准错误、地点区域错误、 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具体实施方案</w:t>
            </w:r>
          </w:p>
        </w:tc>
        <w:tc>
          <w:tcPr>
            <w:tcW w:type="dxa" w:w="3115"/>
          </w:tcPr>
          <w:p>
            <w:pPr>
              <w:pStyle w:val="null5"/>
              <w:jc w:val="left"/>
            </w:pPr>
            <w:r>
              <w:rPr>
                <w:rFonts w:ascii="仿宋_GB2312" w:hAnsi="仿宋_GB2312" w:cs="仿宋_GB2312" w:eastAsia="仿宋_GB2312"/>
              </w:rPr>
              <w:t>根据供应商提供的具体实施方案进行评价，包括：①基础数据资料的收集 及整理方案；②数据资料的汇总复核、分类及综合分析方案；③评价指标 的制定计划 ；④评价报告的编制方案。 每项最多得3分，每项内容存在缺 陷或不足的最多扣3分，不提供不得分。（注：缺陷或不足是指非专门针对本项 目、不适用项目实际情形内容不完整、缺少关键节点只有简单描述无实质 性内容、套用其它项目方案、内容前后矛盾、涉及的规范及标准错误、地 点区域错误、不利于项目实施。）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项目重难点分析</w:t>
            </w:r>
          </w:p>
        </w:tc>
        <w:tc>
          <w:tcPr>
            <w:tcW w:type="dxa" w:w="3115"/>
          </w:tcPr>
          <w:p>
            <w:pPr>
              <w:pStyle w:val="null5"/>
              <w:jc w:val="left"/>
            </w:pPr>
            <w:r>
              <w:rPr>
                <w:rFonts w:ascii="仿宋_GB2312" w:hAnsi="仿宋_GB2312" w:cs="仿宋_GB2312" w:eastAsia="仿宋_GB2312"/>
              </w:rPr>
              <w:t>根据供应商提供的对本项目重难点分析进行评价，包括：①对项目实施重 点、难点分析；②重点、难点问题解决方案。 每项最多得3分，每项内容 存在缺陷或不足的最多扣3分，不提供不得分。（注：缺陷或不足是指非专门针 对本项目、不适用项目实际情形内容不完整、缺少关键节点只有简单描述 无实质性内容、套用其它项目方案、内容前后矛盾、涉及的规范及标准错 误、地点区域错误、不利于项目实施。）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工作进度安排及保障措施</w:t>
            </w:r>
          </w:p>
        </w:tc>
        <w:tc>
          <w:tcPr>
            <w:tcW w:type="dxa" w:w="3115"/>
          </w:tcPr>
          <w:p>
            <w:pPr>
              <w:pStyle w:val="null5"/>
              <w:jc w:val="left"/>
            </w:pPr>
            <w:r>
              <w:rPr>
                <w:rFonts w:ascii="仿宋_GB2312" w:hAnsi="仿宋_GB2312" w:cs="仿宋_GB2312" w:eastAsia="仿宋_GB2312"/>
              </w:rPr>
              <w:t>根据供应商提供的工作进度安排及保障措施进行评价，包括：①整体工作 进度计划；②进度跟踪监控及汇报进度安排；③ 项目实施进度保障措施。 每项最多得3分，每项内容存在缺陷或不足的最多扣3分，不提供不得分。（注： 缺陷或不足是指非专门针对本项目、不适用项目实际情形内容不完整、缺 少关键节点只有简单描述无实质性内容、套用其它项目方案、内容前后矛 盾、涉及的规范及标准错误、地点区域错误、不利于项目实施。）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服务质量管理体系及保障措施</w:t>
            </w:r>
          </w:p>
        </w:tc>
        <w:tc>
          <w:tcPr>
            <w:tcW w:type="dxa" w:w="3115"/>
          </w:tcPr>
          <w:p>
            <w:pPr>
              <w:pStyle w:val="null5"/>
              <w:jc w:val="left"/>
            </w:pPr>
            <w:r>
              <w:rPr>
                <w:rFonts w:ascii="仿宋_GB2312" w:hAnsi="仿宋_GB2312" w:cs="仿宋_GB2312" w:eastAsia="仿宋_GB2312"/>
              </w:rPr>
              <w:t>根据供应商提供的服务质量管理体系及保障措施进行评价，包括：①服务 质量管理体系建设；②服务质量保障措施；③项目服务成果保障措施。 每 项最多得3分，每项内容存在缺陷或不足的最多扣3分，不提供不得分。（注：缺 陷或不足是指非专门针对本项目、不适用项目实际情形内容不完整、缺少 关键节点只有简单描述无实质性内容、套用其它项目方案、内容前后矛盾 、涉及的规范及标准错误、地点区域错误、不利于项目实施。）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w:t>
            </w:r>
          </w:p>
        </w:tc>
        <w:tc>
          <w:tcPr>
            <w:tcW w:type="dxa" w:w="3115"/>
          </w:tcPr>
          <w:p>
            <w:pPr>
              <w:pStyle w:val="null5"/>
              <w:jc w:val="left"/>
            </w:pPr>
            <w:r>
              <w:rPr>
                <w:rFonts w:ascii="仿宋_GB2312" w:hAnsi="仿宋_GB2312" w:cs="仿宋_GB2312" w:eastAsia="仿宋_GB2312"/>
              </w:rPr>
              <w:t>根据供应商针对本项目制定的内控管理制度进行评价，包括：①制定的内 控管理制度；②内控管理制度的落实措施。 每项最多得3分，每项内容存 在缺陷或不足的最多扣3分，不提供不得分。（注：缺陷或不足是指非专门针对 本项目、不适用项目实际情形内容不完整、缺少关键节点只有简单描述无 实质性内容、套用其它项目方案、内容前后矛盾、涉及的规范及标准错误 、地点区域错误、不利于项目实施。）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根据供应商针对本项目制定的保密措施进行评价，包括：①制定的保密制 度；②制定的保密措施；③保密承诺。 每项最多得3分，每项内容存在缺 陷或不足的最多扣3分，不提供不得分。（注：缺陷或不足是指非专门针对本项 目、不适用项目实际情形内容不完整、缺少关键节点只有简单描述无实质 性内容、套用其它项目方案、内容前后矛盾、涉及的规范及标准错误、地 点区域错误、不利于项目实施。）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团队能力</w:t>
            </w:r>
          </w:p>
        </w:tc>
        <w:tc>
          <w:tcPr>
            <w:tcW w:type="dxa" w:w="3115"/>
          </w:tcPr>
          <w:p>
            <w:pPr>
              <w:pStyle w:val="null5"/>
              <w:jc w:val="left"/>
            </w:pPr>
            <w:r>
              <w:rPr>
                <w:rFonts w:ascii="仿宋_GB2312" w:hAnsi="仿宋_GB2312" w:cs="仿宋_GB2312" w:eastAsia="仿宋_GB2312"/>
              </w:rPr>
              <w:t>根据供应商提供的拟派项目团队能力进行评价，包括： ①拟投入的项目团 队人员能力；②项目团队人员岗位职责分工；③团队人员管理措施；④团 队人员稳定性保障措施。 每项最多得3分，每项内容存在缺陷或不足的最多扣3分 ，不提供不得分。（注：缺陷或不足是指非专门针对本项目、不适用项目 实际情形内容不完整、缺少关键节点只有简单描述无实质性内容、套用其 它项目方案、内容前后矛盾、涉及的规范及标准错误、地点区域错误、不 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近三年业绩</w:t>
            </w:r>
          </w:p>
        </w:tc>
        <w:tc>
          <w:tcPr>
            <w:tcW w:type="dxa" w:w="3115"/>
          </w:tcPr>
          <w:p>
            <w:pPr>
              <w:pStyle w:val="null5"/>
              <w:jc w:val="left"/>
            </w:pPr>
            <w:r>
              <w:rPr>
                <w:rFonts w:ascii="仿宋_GB2312" w:hAnsi="仿宋_GB2312" w:cs="仿宋_GB2312" w:eastAsia="仿宋_GB2312"/>
              </w:rPr>
              <w:t>供应商2022年1月1日起至响应文件递交截止之日止，承揽过同类或类似项目业绩，每提供一个得3分，最多得12分。 注：1、同类或类似业绩：指包含绩效评价等内容业绩； 2.响应文件中提供合同关键页扫描件。 3.时间以合同签订时间为准。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人员构成</w:t>
            </w:r>
          </w:p>
        </w:tc>
        <w:tc>
          <w:tcPr>
            <w:tcW w:type="dxa" w:w="3115"/>
          </w:tcPr>
          <w:p>
            <w:pPr>
              <w:pStyle w:val="null5"/>
              <w:jc w:val="left"/>
            </w:pPr>
            <w:r>
              <w:rPr>
                <w:rFonts w:ascii="仿宋_GB2312" w:hAnsi="仿宋_GB2312" w:cs="仿宋_GB2312" w:eastAsia="仿宋_GB2312"/>
              </w:rPr>
              <w:t>1.拟派项目负责人具备副高级及以上职称证书(财务类或经济类)或咨询工程师(已登记)证书或注册会计师证书得3分，否则不得分。 注： 需提供人员证书扫描件，否则不得分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