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医院运营管理平台实施服务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满洲里市人民医院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内蒙古诚霖建设项目管理有限公司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MZLZCS-G-F-250001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内蒙古诚霖建设项目管理有限公司</w:t>
      </w:r>
      <w:r>
        <w:rPr>
          <w:rFonts w:ascii="仿宋_GB2312" w:hAnsi="仿宋_GB2312" w:cs="仿宋_GB2312" w:eastAsia="仿宋_GB2312"/>
        </w:rPr>
        <w:t xml:space="preserve"> 受 </w:t>
      </w:r>
      <w:r>
        <w:rPr>
          <w:rFonts w:ascii="仿宋_GB2312" w:hAnsi="仿宋_GB2312" w:cs="仿宋_GB2312" w:eastAsia="仿宋_GB2312"/>
        </w:rPr>
        <w:t>满洲里市人民医院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医院运营管理平台实施服务</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医院运营管理平台实施服务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MZLZCS-G-F-250001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满政采计划[2025]00006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5,000,000.00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医院运营管理平台实施服务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1、特殊资格要求：无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本项目采用“不见面开标”模式进行开标（投标人无需到达开标现场，开标当日在投标截止时间前登录“内蒙古自治区 政府采购网--政府采购云平台”参加远程开标）。请投标人使用投标客户端严格按照招标文件的相关要求制作和上传电子投标 文件，并按照相关要求参加开标。</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内蒙古诚霖建设项目管理有限公司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内蒙古自治区满洲里市北区健康路1号楼西二层门市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021400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0470-6269998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满洲里市人民医院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满洲里市合作区世纪大道东100号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021400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叶先生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0470-3188151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代理服务费收费标准：依据国家发展改革委，发改价格[2015]299号文件、参照内工建协[2022]34号文件的规定收取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不适用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满洲里市人民医院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内蒙古诚霖建设项目管理有限公司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审查供应商2023或2024年度经会计师事务所出具完整的财务审计报告或其基本开户银行出具的近一年内的银行资信证明。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 (至少一个月) 的良好缴纳税收的相关凭据。 (以税务机关提供的纳税凭据或银行入账单为准) 2.提供递交响应文件截止之日前一年内 (至少一个月)完整缴纳社会保险的凭证。(以专用收据或社会保险缴纳清单为准)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特殊资格要求</w:t>
            </w:r>
          </w:p>
        </w:tc>
        <w:tc>
          <w:tcPr>
            <w:tcW w:type="dxa" w:w="4984"/>
          </w:tcPr>
          <w:p>
            <w:pPr>
              <w:pStyle w:val="null5"/>
              <w:jc w:val="left"/>
            </w:pPr>
            <w:r>
              <w:rPr>
                <w:rFonts w:ascii="仿宋_GB2312" w:hAnsi="仿宋_GB2312" w:cs="仿宋_GB2312" w:eastAsia="仿宋_GB2312"/>
              </w:rPr>
              <w:t>无</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以公立医院高质量发展为要求、提升医院综合运营管理能力，优化业务流程、合理配置资源、有效管控风险、强化分析评价，实现全院业务流程可跟踪、可监察，管理的可视化，减少管理上的漏洞，将运营管理转化为价值创造，有效提升运营效益和投入产出效率，提升医院持续发展的动力和行业竞争力。</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自合同签订之日起60日历天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满洲里市人民医院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1、服务完成后第一年付10%，达到付款条件起20日，支付合同总金额的10.00%</w:t>
            </w:r>
          </w:p>
          <w:p>
            <w:pPr>
              <w:pStyle w:val="null5"/>
              <w:jc w:val="left"/>
            </w:pPr>
            <w:r>
              <w:rPr>
                <w:rFonts w:ascii="仿宋_GB2312" w:hAnsi="仿宋_GB2312" w:cs="仿宋_GB2312" w:eastAsia="仿宋_GB2312"/>
              </w:rPr>
              <w:t>2、服务完成后第二年付30%，达到付款条件起20日，支付合同总金额的30.00%</w:t>
            </w:r>
          </w:p>
          <w:p>
            <w:pPr>
              <w:pStyle w:val="null5"/>
              <w:jc w:val="left"/>
            </w:pPr>
            <w:r>
              <w:rPr>
                <w:rFonts w:ascii="仿宋_GB2312" w:hAnsi="仿宋_GB2312" w:cs="仿宋_GB2312" w:eastAsia="仿宋_GB2312"/>
              </w:rPr>
              <w:t>3、服务完成后第三年付30%，达到付款条件起20日，支付合同总金额的30.00%</w:t>
            </w:r>
          </w:p>
          <w:p>
            <w:pPr>
              <w:pStyle w:val="null5"/>
              <w:jc w:val="left"/>
            </w:pPr>
            <w:r>
              <w:rPr>
                <w:rFonts w:ascii="仿宋_GB2312" w:hAnsi="仿宋_GB2312" w:cs="仿宋_GB2312" w:eastAsia="仿宋_GB2312"/>
              </w:rPr>
              <w:t>4、服务完成后第四年付30%，达到付款条件起20日，支付合同总金额的30.00%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标的名称：医院运营管理平台实施服务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详见招标公告附件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系统演示</w:t>
            </w:r>
          </w:p>
        </w:tc>
        <w:tc>
          <w:tcPr>
            <w:tcW w:type="dxa" w:w="3115"/>
          </w:tcPr>
          <w:p>
            <w:pPr>
              <w:pStyle w:val="null5"/>
              <w:jc w:val="left"/>
            </w:pPr>
            <w:r>
              <w:rPr>
                <w:rFonts w:ascii="仿宋_GB2312" w:hAnsi="仿宋_GB2312" w:cs="仿宋_GB2312" w:eastAsia="仿宋_GB2312"/>
              </w:rPr>
              <w:t>投标人需演示“▲”条款，根据系统演示功能的稳定性、系统软件界面友好性、操作简便、功能应答招标文件的完整性等方面比较评分，满分为20分，每一个演示点得2分。 说明：可以使用测试环境和模拟数据，未演示的或采用PPT、视频、截图等事先准备好材料等形式的不得分。演示时间不得超过25分钟。（此演示为远程演示）</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技术方案</w:t>
            </w:r>
          </w:p>
        </w:tc>
        <w:tc>
          <w:tcPr>
            <w:tcW w:type="dxa" w:w="3115"/>
          </w:tcPr>
          <w:p>
            <w:pPr>
              <w:pStyle w:val="null5"/>
              <w:jc w:val="left"/>
            </w:pPr>
            <w:r>
              <w:rPr>
                <w:rFonts w:ascii="仿宋_GB2312" w:hAnsi="仿宋_GB2312" w:cs="仿宋_GB2312" w:eastAsia="仿宋_GB2312"/>
              </w:rPr>
              <w:t>投标人针对本项目提供详细的技术方案，内容应包括但不限于以下内容;项目管理方案、实施计划、质量保障措施等方面内容。 内容完整清晰合理，可行性高，得15分； 内容针对性广泛，内容清晰，可行性较高，得10分； 内容没有针对性，内容简单，可行性一般，得5分； 未提供的不得分。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投标人针对本项目提供详细的应急方案，内容应包括但不限于以下内容;网络攻防应急演练、网络安全应急机制建设规划、重大节日期间技术服务支持、备用设备支持、团队专业性、人员配备及技术力量支持等内容。 内容完整清晰合理，可行性高，得15分； 内容针对性广泛，内容清晰，可行性较高，得10分； 内容没有针对性，内容简单，可行性一般，得5分； 未提供的不得分。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投标人针对本项目提供详细的售后服务方案，内容应包括但不限于以下内容;服务方案完整明确、维护响应时间快速及时、服务承诺有效到位、技术人员安排科学合理。 内容完整清晰合理，可行性高，得10分； 内容针对性广泛，内容清晰，可行性较高，得7分； 内容没有针对性，内容简单，可行性一般，得4分； 未提供的不得分。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投标人针对本项目提供详细的培训方案，内容应包括但不限于以下内容：培训组织、培训内容、培训计划等。 内容完整清晰合理，可行性高，得10分； 内容针对性广泛，内容清晰，可行性较高，得7分； 内容没有针对性，内容简单，可行性一般，得4分； 未提供的不得分。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著作权</w:t>
            </w:r>
          </w:p>
        </w:tc>
        <w:tc>
          <w:tcPr>
            <w:tcW w:type="dxa" w:w="3115"/>
          </w:tcPr>
          <w:p>
            <w:pPr>
              <w:pStyle w:val="null5"/>
              <w:jc w:val="left"/>
            </w:pPr>
            <w:r>
              <w:rPr>
                <w:rFonts w:ascii="仿宋_GB2312" w:hAnsi="仿宋_GB2312" w:cs="仿宋_GB2312" w:eastAsia="仿宋_GB2312"/>
              </w:rPr>
              <w:t>投标人提供本项目建设的著作权证书，医院综合运营管理系统、财务核算管理信息系统、全面预算信息管理系统、网络报销管理系统、医院成本核算管理系统、项目成本核算管理系统、合同管理系统、供应商云采购平台、人力资源信息管理系统、应聘者门户平台系统、绩效管理系统、固定资产信息管理系统、内部控制管理平台、移动综合运营管理系统、决策分析管理平台、VTE智能防治管理系统、业务运营支撑系统、智能容器化云平台、智能运维监控系统、代码审计平台、文件完整性检测系统、数据分析系统、端口管理系统、基线扫描系统、准入控制系统、集成开放平台全部提供得14分，缺一项扣1分，扣完为止。 说明：《计算机软件著作权证书》中的名称无需与上述完全一致，但需要满足以上著作权证书专业范围要求及招标功能需求。</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w:t>
            </w:r>
          </w:p>
        </w:tc>
        <w:tc>
          <w:tcPr>
            <w:tcW w:type="dxa" w:w="3115"/>
          </w:tcPr>
          <w:p>
            <w:pPr>
              <w:pStyle w:val="null5"/>
              <w:jc w:val="left"/>
            </w:pPr>
            <w:r>
              <w:rPr>
                <w:rFonts w:ascii="仿宋_GB2312" w:hAnsi="仿宋_GB2312" w:cs="仿宋_GB2312" w:eastAsia="仿宋_GB2312"/>
              </w:rPr>
              <w:t>投标人根据招标文件要求提供本项目管理组织架构、项目经理、技术负责人以及项目实施与维护技术人员。提供人员证书复印件、在本单位缴纳社保的证明材料。 各岗位配备合理详细，配备5人及以上人员得3分，配备5人以下人员得2分，未提供的不得分。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同类业绩</w:t>
            </w:r>
          </w:p>
        </w:tc>
        <w:tc>
          <w:tcPr>
            <w:tcW w:type="dxa" w:w="3115"/>
          </w:tcPr>
          <w:p>
            <w:pPr>
              <w:pStyle w:val="null5"/>
              <w:jc w:val="left"/>
            </w:pPr>
            <w:r>
              <w:rPr>
                <w:rFonts w:ascii="仿宋_GB2312" w:hAnsi="仿宋_GB2312" w:cs="仿宋_GB2312" w:eastAsia="仿宋_GB2312"/>
              </w:rPr>
              <w:t>投标人近3年承接过医院信息化建设项目业绩，每提供一项得1分，最多得3分；（须提供相关合同或中标通知书复印件。提供的合同包括以下内容：首页、合同金额项、基本服务内容，双方盖章部分，并加盖投标人公章。） 注：三年，近一年指本项目开标前365日历日至开标日，近二年、近三年依此类推。</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