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中蒙医院残疾人康复设备采购项目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牙克石市中蒙医院</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牙克石市公共资源交易中心</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HZCYKS-G-H-250002</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牙克石市公共资源交易中心</w:t>
      </w:r>
      <w:r>
        <w:rPr>
          <w:rFonts w:ascii="仿宋_GB2312" w:hAnsi="仿宋_GB2312" w:cs="仿宋_GB2312" w:eastAsia="仿宋_GB2312"/>
        </w:rPr>
        <w:t xml:space="preserve"> 受 </w:t>
      </w:r>
      <w:r>
        <w:rPr>
          <w:rFonts w:ascii="仿宋_GB2312" w:hAnsi="仿宋_GB2312" w:cs="仿宋_GB2312" w:eastAsia="仿宋_GB2312"/>
        </w:rPr>
        <w:t>牙克石市中蒙医院</w:t>
      </w:r>
      <w:r>
        <w:rPr>
          <w:rFonts w:ascii="仿宋_GB2312" w:hAnsi="仿宋_GB2312" w:cs="仿宋_GB2312" w:eastAsia="仿宋_GB2312"/>
        </w:rPr>
        <w:t xml:space="preserve"> 委托，采用公开招标方式组织采购 </w:t>
      </w:r>
      <w:r>
        <w:rPr>
          <w:rFonts w:ascii="仿宋_GB2312" w:hAnsi="仿宋_GB2312" w:cs="仿宋_GB2312" w:eastAsia="仿宋_GB2312"/>
        </w:rPr>
        <w:t>中蒙医院残疾人康复设备采购项目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中蒙医院残疾人康复设备采购项目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HZCYKS-G-H-250002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牙政采计划[2025]00005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715,688.00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牙克石市中蒙医院医疗设备</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715,688.00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牙克石市公共资源交易中心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内蒙古自治区呼伦贝尔市牙克石市原新区客运站牙克石市政府采购中心一楼东侧</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022150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牙克石市公共资源交易中心</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0470-7338190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牙克石市中蒙医院</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牙克石市兴安东街37号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022150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郭景泉</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19284705078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本项目不收取代理服务费</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牙克石市中蒙医院</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牙克石市公共资源交易中心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妇科2台套，药剂科15台套，口腔内科4台套，急诊科29台套，康复科27台套</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自合同签订之日起满一年</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牙克石市中蒙医院新区院址</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1、签订合同后,政府资金拨付到位后，付款合同总金额的30%，达到付款条件起7日，支付合同总金额的30.00%</w:t>
            </w:r>
          </w:p>
          <w:p>
            <w:pPr>
              <w:pStyle w:val="null5"/>
              <w:jc w:val="left"/>
            </w:pPr>
            <w:r>
              <w:rPr>
                <w:rFonts w:ascii="仿宋_GB2312" w:hAnsi="仿宋_GB2312" w:cs="仿宋_GB2312" w:eastAsia="仿宋_GB2312"/>
              </w:rPr>
              <w:t>2、政府资金拨付到位后，验收合格后付款60%，达到付款条件起7日，支付合同总金额的60.00%</w:t>
            </w:r>
          </w:p>
          <w:p>
            <w:pPr>
              <w:pStyle w:val="null5"/>
              <w:jc w:val="left"/>
            </w:pPr>
            <w:r>
              <w:rPr>
                <w:rFonts w:ascii="仿宋_GB2312" w:hAnsi="仿宋_GB2312" w:cs="仿宋_GB2312" w:eastAsia="仿宋_GB2312"/>
              </w:rPr>
              <w:t>3、政府资金拨付到位，质保期结束后付款剩余10%，达到付款条件起7日，支付合同总金额的10.00%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标的名称：牙克石市中蒙医院医疗设备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详见技术参数附件</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技术参数的 响应性情况</w:t>
            </w:r>
          </w:p>
        </w:tc>
        <w:tc>
          <w:tcPr>
            <w:tcW w:type="dxa" w:w="3115"/>
          </w:tcPr>
          <w:p>
            <w:pPr>
              <w:pStyle w:val="null5"/>
              <w:jc w:val="left"/>
            </w:pPr>
            <w:r>
              <w:rPr>
                <w:rFonts w:ascii="仿宋_GB2312" w:hAnsi="仿宋_GB2312" w:cs="仿宋_GB2312" w:eastAsia="仿宋_GB2312"/>
              </w:rPr>
              <w:t>技术参数▲为重要参数，若负偏离的每条扣1分，满分35分，扣完为止。</w:t>
            </w:r>
          </w:p>
        </w:tc>
        <w:tc>
          <w:tcPr>
            <w:tcW w:type="dxa" w:w="1038"/>
          </w:tcPr>
          <w:p>
            <w:pPr>
              <w:pStyle w:val="null5"/>
              <w:jc w:val="right"/>
            </w:pPr>
            <w:r>
              <w:rPr>
                <w:rFonts w:ascii="仿宋_GB2312" w:hAnsi="仿宋_GB2312" w:cs="仿宋_GB2312" w:eastAsia="仿宋_GB2312"/>
              </w:rPr>
              <w:t>35.00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供应商应针对本项目实际特点制定相关的培训方案（包括但不限于培训的频次 、培训的人员安排）： 1、培训方案体系完善、计划详细、具体，有明确的培 训目标及任务，培训时间、地点和人员的安排详细明了，培训前的准备工作充 分且到货时间短，培训时间及时得1-3分； 2、培训方案体系较为完善、计划较为详细，有培训方案，有培训目标及任务安排，但不够具体明确，培训时间、地点和人员的安排存在 缺漏的得1-3分； 3、培训方案体系不完备的得1-3分。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供货安排、安装调试</w:t>
            </w:r>
          </w:p>
        </w:tc>
        <w:tc>
          <w:tcPr>
            <w:tcW w:type="dxa" w:w="3115"/>
          </w:tcPr>
          <w:p>
            <w:pPr>
              <w:pStyle w:val="null5"/>
              <w:jc w:val="left"/>
            </w:pPr>
            <w:r>
              <w:rPr>
                <w:rFonts w:ascii="仿宋_GB2312" w:hAnsi="仿宋_GB2312" w:cs="仿宋_GB2312" w:eastAsia="仿宋_GB2312"/>
              </w:rPr>
              <w:t>1、货物发运计划、安装方案内容合理、完整、详细且针对性强、进度计划安排合理，得1-3分 2、供货安排、调试安装方案内容比较合理可行的得1-3分。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投标人应根据本项目特点及自身情况拟定质量保证方案，方案应包括但不限于以下方面： 1、投标单位质量保证制度、得1-3分 2、产品质量保证方案。得1-2分。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供应商提供近三年（2021年6月至今）承担过医疗设备销售业绩，每提供一 项得2分，满分4分。注：本项以合同或中标（成交）通知书为准， 日期以合同签订或中标通知书落款时间为准；投标文件中须附以上资料清晰的扫描件并加盖投标人公章。</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供应商需结合项目的实际特点来制定本项目的售后服务方案，售后服务方案包 括内容包括服务保障体系，服务责任、质量管控、产品退换、应急措施、售后 服务人员等内容： 1、方案内容详尽完善、措施可行性强，人员安排科学合理 , 售后服务体系完善，解决问题方案全面，售后服务响应时间及时，完全满足 并优于采购人需求的得1-4分； 2、方案内容完整，应急措施有可行性、人员安 排合理，具有详细的售后服务体系、解决问题方案、售后服务响应时间等内容 , 能够满足采购人需求的得1-4分； 3、方案内容完整，应急措施的可行性较弱 、人员安排的合理较弱，售后服务体系不够详细、解决问题方案、售后服务响应时间等内容，基本满足采购人需求的得1-3分； 4、未提供方案或提供方案与项目完全不符不得分。</w:t>
            </w:r>
          </w:p>
        </w:tc>
        <w:tc>
          <w:tcPr>
            <w:tcW w:type="dxa" w:w="1038"/>
          </w:tcPr>
          <w:p>
            <w:pPr>
              <w:pStyle w:val="null5"/>
              <w:jc w:val="right"/>
            </w:pPr>
            <w:r>
              <w:rPr>
                <w:rFonts w:ascii="仿宋_GB2312" w:hAnsi="仿宋_GB2312" w:cs="仿宋_GB2312" w:eastAsia="仿宋_GB2312"/>
              </w:rPr>
              <w:t>11.00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