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“一窗制”改革政府购买项目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额尔古纳市政务服务与数据管理局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额尔古纳市公共资源交易中心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HZCEGN-C-F-250002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额尔古纳市公共资源交易中心</w:t>
      </w:r>
      <w:r>
        <w:rPr>
          <w:rFonts w:ascii="仿宋_GB2312" w:hAnsi="仿宋_GB2312" w:cs="仿宋_GB2312" w:eastAsia="仿宋_GB2312"/>
        </w:rPr>
        <w:t xml:space="preserve"> 受 </w:t>
      </w:r>
      <w:r>
        <w:rPr>
          <w:rFonts w:ascii="仿宋_GB2312" w:hAnsi="仿宋_GB2312" w:cs="仿宋_GB2312" w:eastAsia="仿宋_GB2312"/>
        </w:rPr>
        <w:t>额尔古纳市政务服务与数据管理局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“一窗制”改革政府购买项目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“一窗制”改革政府购买项目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HZCEGN-C-F-250002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额政采计划[2025]00028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"一窗制"改革政府购买项目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1,080,000.00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额尔古纳市公共资源交易中心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内蒙古自治区呼伦贝尔市额尔古纳市鸿雁街119号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022250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额尔古纳市公共资源交易中心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0470-6802799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额尔古纳市政务服务与数据管理局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额尔古纳大街行政审批综合楼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022250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张静宇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18847005885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额尔古纳市政务服务与数据管理局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额尔古纳市公共资源交易中心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"一窗制"改革政府购买项目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详见实际合同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额尔古纳市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1、每季度根据服务情况据实支付，达到付款条件起10日，支付合同总金额的25.00%</w:t>
            </w:r>
          </w:p>
          <w:p>
            <w:pPr>
              <w:pStyle w:val="null5"/>
              <w:jc w:val="left"/>
            </w:pPr>
            <w:r>
              <w:rPr>
                <w:rFonts w:ascii="仿宋_GB2312" w:hAnsi="仿宋_GB2312" w:cs="仿宋_GB2312" w:eastAsia="仿宋_GB2312"/>
              </w:rPr>
              <w:t>2、每季度根据服务情况据实支付，达到付款条件起10日，支付合同总金额的25.00%</w:t>
            </w:r>
          </w:p>
          <w:p>
            <w:pPr>
              <w:pStyle w:val="null5"/>
              <w:jc w:val="left"/>
            </w:pPr>
            <w:r>
              <w:rPr>
                <w:rFonts w:ascii="仿宋_GB2312" w:hAnsi="仿宋_GB2312" w:cs="仿宋_GB2312" w:eastAsia="仿宋_GB2312"/>
              </w:rPr>
              <w:t>3、每季度根据服务情况据实支付，达到付款条件起10日，支付合同总金额的25.00%</w:t>
            </w:r>
          </w:p>
          <w:p>
            <w:pPr>
              <w:pStyle w:val="null5"/>
              <w:jc w:val="left"/>
            </w:pPr>
            <w:r>
              <w:rPr>
                <w:rFonts w:ascii="仿宋_GB2312" w:hAnsi="仿宋_GB2312" w:cs="仿宋_GB2312" w:eastAsia="仿宋_GB2312"/>
              </w:rPr>
              <w:t>4、每季度根据服务情况据实支付，达到付款条件起10日，支付合同总金额的25.00%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标的名称："一窗制"改革政府购买项目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85"/>
              <w:ind w:left="60"/>
              <w:jc w:val="left"/>
            </w:pPr>
            <w:r>
              <w:rPr>
                <w:rFonts w:ascii="仿宋_GB2312" w:hAnsi="仿宋_GB2312" w:cs="仿宋_GB2312" w:eastAsia="仿宋_GB2312"/>
              </w:rPr>
              <w:t>“一窗制”改革政府购买项目</w:t>
            </w:r>
          </w:p>
          <w:p>
            <w:pPr>
              <w:pStyle w:val="null5"/>
              <w:jc w:val="left"/>
            </w:pP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150"/>
              <w:ind w:left="180"/>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）政务服务大厅窗口人员接受各派驻部门的委托，代表该部门履行咨询、接</w:t>
            </w:r>
            <w:r>
              <w:rPr>
                <w:rFonts w:ascii="仿宋_GB2312" w:hAnsi="仿宋_GB2312" w:cs="仿宋_GB2312" w:eastAsia="仿宋_GB2312"/>
                <w:sz w:val="21"/>
                <w:b/>
                <w:color w:val="000000"/>
              </w:rPr>
              <w:t>件、受理、告知、送达、帮办、材料流</w:t>
            </w:r>
            <w:r>
              <w:rPr>
                <w:rFonts w:ascii="仿宋_GB2312" w:hAnsi="仿宋_GB2312" w:cs="仿宋_GB2312" w:eastAsia="仿宋_GB2312"/>
                <w:sz w:val="21"/>
                <w:b/>
                <w:color w:val="000000"/>
              </w:rPr>
              <w:t>转、投诉处理等职责，及时跟进办理进度。</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）负责综合窗口相关工作，依据综合窗口办理事项流程及受理清单要求，对</w:t>
            </w:r>
            <w:r>
              <w:rPr>
                <w:rFonts w:ascii="仿宋_GB2312" w:hAnsi="仿宋_GB2312" w:cs="仿宋_GB2312" w:eastAsia="仿宋_GB2312"/>
                <w:sz w:val="21"/>
                <w:b/>
                <w:color w:val="000000"/>
              </w:rPr>
              <w:t>服务对象提供指导服务，按照受理标准</w:t>
            </w:r>
            <w:r>
              <w:rPr>
                <w:rFonts w:ascii="仿宋_GB2312" w:hAnsi="仿宋_GB2312" w:cs="仿宋_GB2312" w:eastAsia="仿宋_GB2312"/>
                <w:sz w:val="21"/>
                <w:b/>
                <w:color w:val="000000"/>
              </w:rPr>
              <w:t>审查服务对象提交的资料，对符合受理标准的，提供受理服务；对不符合要求或</w:t>
            </w:r>
            <w:r>
              <w:rPr>
                <w:rFonts w:ascii="仿宋_GB2312" w:hAnsi="仿宋_GB2312" w:cs="仿宋_GB2312" w:eastAsia="仿宋_GB2312"/>
                <w:sz w:val="21"/>
                <w:b/>
                <w:color w:val="000000"/>
              </w:rPr>
              <w:t>缺少资料的，告知服务对象补齐补正</w:t>
            </w:r>
            <w:r>
              <w:rPr>
                <w:rFonts w:ascii="仿宋_GB2312" w:hAnsi="仿宋_GB2312" w:cs="仿宋_GB2312" w:eastAsia="仿宋_GB2312"/>
                <w:sz w:val="21"/>
                <w:b/>
                <w:color w:val="000000"/>
              </w:rPr>
              <w:t>。</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）承担对综合窗口进驻事项的咨询工作，落实首</w:t>
            </w:r>
            <w:r>
              <w:rPr>
                <w:rFonts w:ascii="仿宋_GB2312" w:hAnsi="仿宋_GB2312" w:cs="仿宋_GB2312" w:eastAsia="仿宋_GB2312"/>
                <w:sz w:val="21"/>
                <w:b/>
                <w:color w:val="000000"/>
              </w:rPr>
              <w:t>问负责、一次性告知、</w:t>
            </w:r>
            <w:r>
              <w:rPr>
                <w:rFonts w:ascii="仿宋_GB2312" w:hAnsi="仿宋_GB2312" w:cs="仿宋_GB2312" w:eastAsia="仿宋_GB2312"/>
                <w:sz w:val="21"/>
                <w:b/>
                <w:color w:val="000000"/>
              </w:rPr>
              <w:t>AB</w:t>
            </w:r>
            <w:r>
              <w:rPr>
                <w:rFonts w:ascii="仿宋_GB2312" w:hAnsi="仿宋_GB2312" w:cs="仿宋_GB2312" w:eastAsia="仿宋_GB2312"/>
                <w:sz w:val="21"/>
                <w:b/>
                <w:color w:val="000000"/>
              </w:rPr>
              <w:t>岗等工作要求。</w:t>
            </w:r>
          </w:p>
          <w:p>
            <w:pPr>
              <w:pStyle w:val="null5"/>
              <w:ind w:left="19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）负责对综合窗口的材料流转、帮办代办等</w:t>
            </w:r>
            <w:r>
              <w:rPr>
                <w:rFonts w:ascii="仿宋_GB2312" w:hAnsi="仿宋_GB2312" w:cs="仿宋_GB2312" w:eastAsia="仿宋_GB2312"/>
                <w:sz w:val="21"/>
                <w:b/>
                <w:color w:val="000000"/>
              </w:rPr>
              <w:t>工作。</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）按照利企便民的原则，结合窗口工作实际，及时总结各审批部门经验，发</w:t>
            </w:r>
            <w:r>
              <w:rPr>
                <w:rFonts w:ascii="仿宋_GB2312" w:hAnsi="仿宋_GB2312" w:cs="仿宋_GB2312" w:eastAsia="仿宋_GB2312"/>
                <w:sz w:val="21"/>
                <w:b/>
                <w:color w:val="000000"/>
              </w:rPr>
              <w:t>现问题，提出改进不足、推进信息共享</w:t>
            </w:r>
            <w:r>
              <w:rPr>
                <w:rFonts w:ascii="仿宋_GB2312" w:hAnsi="仿宋_GB2312" w:cs="仿宋_GB2312" w:eastAsia="仿宋_GB2312"/>
                <w:sz w:val="21"/>
                <w:b/>
                <w:color w:val="000000"/>
              </w:rPr>
              <w:t>、优化审批流程和提高服务效率的意见建议。</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w:t>
            </w:r>
            <w:r>
              <w:rPr>
                <w:rFonts w:ascii="仿宋_GB2312" w:hAnsi="仿宋_GB2312" w:cs="仿宋_GB2312" w:eastAsia="仿宋_GB2312"/>
                <w:sz w:val="21"/>
                <w:b/>
                <w:color w:val="000000"/>
              </w:rPr>
              <w:t>）梳理综窗系统，窗口通过综窗系统进</w:t>
            </w:r>
            <w:r>
              <w:rPr>
                <w:rFonts w:ascii="仿宋_GB2312" w:hAnsi="仿宋_GB2312" w:cs="仿宋_GB2312" w:eastAsia="仿宋_GB2312"/>
                <w:sz w:val="21"/>
                <w:b/>
                <w:color w:val="000000"/>
              </w:rPr>
              <w:t>行接件。</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）开展政务服务一次办、工程项目审批帮办代办工作。</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）开展</w:t>
            </w:r>
            <w:r>
              <w:rPr>
                <w:rFonts w:ascii="仿宋_GB2312" w:hAnsi="仿宋_GB2312" w:cs="仿宋_GB2312" w:eastAsia="仿宋_GB2312"/>
                <w:sz w:val="21"/>
                <w:b/>
                <w:color w:val="000000"/>
              </w:rPr>
              <w:t>“</w:t>
            </w:r>
            <w:r>
              <w:rPr>
                <w:rFonts w:ascii="仿宋_GB2312" w:hAnsi="仿宋_GB2312" w:cs="仿宋_GB2312" w:eastAsia="仿宋_GB2312"/>
                <w:sz w:val="21"/>
                <w:b/>
              </w:rPr>
              <w:t xml:space="preserve"> </w:t>
            </w:r>
            <w:r>
              <w:rPr>
                <w:rFonts w:ascii="仿宋_GB2312" w:hAnsi="仿宋_GB2312" w:cs="仿宋_GB2312" w:eastAsia="仿宋_GB2312"/>
                <w:sz w:val="21"/>
                <w:b/>
                <w:color w:val="000000"/>
              </w:rPr>
              <w:t>12345</w:t>
            </w:r>
            <w:r>
              <w:rPr>
                <w:rFonts w:ascii="仿宋_GB2312" w:hAnsi="仿宋_GB2312" w:cs="仿宋_GB2312" w:eastAsia="仿宋_GB2312"/>
                <w:sz w:val="21"/>
                <w:b/>
              </w:rPr>
              <w:t xml:space="preserve"> </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政务服务便民热线工单的接单、转派、催办、办结审核等工作。</w:t>
            </w:r>
          </w:p>
          <w:p>
            <w:pPr>
              <w:pStyle w:val="null5"/>
              <w:ind w:left="19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9</w:t>
            </w:r>
            <w:r>
              <w:rPr>
                <w:rFonts w:ascii="仿宋_GB2312" w:hAnsi="仿宋_GB2312" w:cs="仿宋_GB2312" w:eastAsia="仿宋_GB2312"/>
                <w:sz w:val="21"/>
                <w:b/>
                <w:color w:val="000000"/>
              </w:rPr>
              <w:t>）承担政务公开专区、互联网体验区、导办区、</w:t>
            </w:r>
            <w:r>
              <w:rPr>
                <w:rFonts w:ascii="仿宋_GB2312" w:hAnsi="仿宋_GB2312" w:cs="仿宋_GB2312" w:eastAsia="仿宋_GB2312"/>
                <w:sz w:val="21"/>
                <w:b/>
                <w:color w:val="000000"/>
              </w:rPr>
              <w:t>自助服务区等工作任务。</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）按照工作要求，开展免证办、跨省通办、提供延时服务、预约服务和</w:t>
            </w:r>
            <w:r>
              <w:rPr>
                <w:rFonts w:ascii="仿宋_GB2312" w:hAnsi="仿宋_GB2312" w:cs="仿宋_GB2312" w:eastAsia="仿宋_GB2312"/>
                <w:sz w:val="21"/>
                <w:b/>
                <w:color w:val="000000"/>
              </w:rPr>
              <w:t>5+X</w:t>
            </w:r>
            <w:r>
              <w:rPr>
                <w:rFonts w:ascii="仿宋_GB2312" w:hAnsi="仿宋_GB2312" w:cs="仿宋_GB2312" w:eastAsia="仿宋_GB2312"/>
                <w:sz w:val="21"/>
                <w:b/>
                <w:color w:val="000000"/>
              </w:rPr>
              <w:t>服务。</w:t>
            </w:r>
          </w:p>
          <w:p>
            <w:pPr>
              <w:pStyle w:val="null5"/>
              <w:ind w:left="19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）开展相关讲解工作。</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）确保工作辖区设备的正常运行和使用。</w:t>
            </w:r>
          </w:p>
          <w:p>
            <w:pPr>
              <w:pStyle w:val="null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）完成交办的其他任务。</w:t>
            </w:r>
          </w:p>
          <w:p>
            <w:pPr>
              <w:pStyle w:val="null5"/>
              <w:spacing w:before="45"/>
              <w:ind w:left="180" w:right="105" w:firstLine="11"/>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项目需求分析理解</w:t>
            </w:r>
          </w:p>
        </w:tc>
        <w:tc>
          <w:tcPr>
            <w:tcW w:type="dxa" w:w="3115"/>
          </w:tcPr>
          <w:p>
            <w:pPr>
              <w:pStyle w:val="null5"/>
              <w:jc w:val="left"/>
            </w:pPr>
            <w:r>
              <w:rPr>
                <w:rFonts w:ascii="仿宋_GB2312" w:hAnsi="仿宋_GB2312" w:cs="仿宋_GB2312" w:eastAsia="仿宋_GB2312"/>
              </w:rPr>
              <w:t>综合考虑投标人结合本项目实际情况及自身现有条件，对本项目需求特点 进行充分分析，清晰阐述本项目的工作重点和难点，提出对应解决方案。 (1)工作重点和难点归纳理解全面清晰透彻、针对性强，解决方案合理可行 、操作性强，对其所承担的义务、责任感和使命感认识深刻的，得10分； (2) 工作重点和难点归纳理解较为全面清晰、针对性较强，解决方案较 合 理可行、操作性较强，对其所承担的义务、责任感和使命感认识深刻的, 得7分；(3)工作重点和难点归纳理解基本清晰准确、针对性一般，解决方 案操作性一般，对其所承担的义务、责任感和使命感认识深刻的，得4分 ; (4)工作重点和难点归纳理解分析模糊、针对性较差，解决方案操作性较 差，对其所承担的义务、责任感和使命感认识有所欠缺的，得1分；（5) 未提供项目需求分析理解及解决方案的，不得分。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根据供应商提供的服务设想、服务规范、招募措施及进度的合理性进行综 合评价：(1)方案内容完整详实，考虑细致周全，科学合理性、可行性、针 对性强，能够完全满足采购人实际需要的，得10分；(2)方案内容较完整 详实，考虑较细致全面，科学合理性、可行性、针对性较强，能够较好满 足采购人实际需要的，得7分；(3)方案内容基本完整，科学合理性、可行 性、针对性一般，能够基本满足采购人实际需要的，得4分；(4)方案内容 及条理性有所欠缺，可行性和针对性较差的，得1分；（5）未提供不得分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管理体系建设</w:t>
            </w:r>
          </w:p>
        </w:tc>
        <w:tc>
          <w:tcPr>
            <w:tcW w:type="dxa" w:w="3115"/>
          </w:tcPr>
          <w:p>
            <w:pPr>
              <w:pStyle w:val="null5"/>
              <w:jc w:val="left"/>
            </w:pPr>
            <w:r>
              <w:rPr>
                <w:rFonts w:ascii="仿宋_GB2312" w:hAnsi="仿宋_GB2312" w:cs="仿宋_GB2312" w:eastAsia="仿宋_GB2312"/>
              </w:rPr>
              <w:t>投标人应建立能够切实有效保障本项目顺利完成的管理体系。 (1)建立了 详细完善的工作管理制度，严格按照相关规范要求执行的，得10分；(2) 建立了相对完善的工作管理制度，符合相关规范要求的，得7分；(3)具有 相关的工作管理制度，但有所欠缺，对相关规范要求执行力度不够的，得 4分； (4)具有相关工作管理制度，但与本项目具体情况有较大差异的, 得1 分；(5)未提供不得分。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投诉处理方案</w:t>
            </w:r>
          </w:p>
        </w:tc>
        <w:tc>
          <w:tcPr>
            <w:tcW w:type="dxa" w:w="3115"/>
          </w:tcPr>
          <w:p>
            <w:pPr>
              <w:pStyle w:val="null5"/>
              <w:jc w:val="left"/>
            </w:pPr>
            <w:r>
              <w:rPr>
                <w:rFonts w:ascii="仿宋_GB2312" w:hAnsi="仿宋_GB2312" w:cs="仿宋_GB2312" w:eastAsia="仿宋_GB2312"/>
              </w:rPr>
              <w:t>根据投标人针对投诉处理提供的方案进行评分。(1)方案全面完善、科学 , 可行性及针对性强，能够完全满足采购人实际需要的，得10分；(2)方案 较为全面、科学，可行性及针对性较强，能够较好满足采购人实际需要的 , 得7分； (3) 方案完整性、科学性，可行性及针对性一般，能够基本满 足采购人实际需要的，得4分； (4)方案不完整，可行性及针对性较差 , 无 法满足采购人实际需要的，得1分； (5)方案差或未提供方案的，不得分。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根据投标人针对服务人员提供的培训方案进行评分，包括但不限于按培训 内容、培训流程、培训考核内容等方面。 (1)方案全面完善、科学，可行 性及针对性强，能够完全满足采购人实际需要的，得10分； (2)方案较为 全面、科学，可行性及针对性较强，能够较好满足采购人实际需要的，得 7分； (3) 方案完整性、科学性，可行性及针对性一般，能够基本满足采 购人实际需要的，得4分； (4)方案不完整，可行性及针对性较差，无法满 足采购人实际需要的，得1分；(5)方案差或未提供方案的，不得分。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服务人员考核方案</w:t>
            </w:r>
          </w:p>
        </w:tc>
        <w:tc>
          <w:tcPr>
            <w:tcW w:type="dxa" w:w="3115"/>
          </w:tcPr>
          <w:p>
            <w:pPr>
              <w:pStyle w:val="null5"/>
              <w:jc w:val="left"/>
            </w:pPr>
            <w:r>
              <w:rPr>
                <w:rFonts w:ascii="仿宋_GB2312" w:hAnsi="仿宋_GB2312" w:cs="仿宋_GB2312" w:eastAsia="仿宋_GB2312"/>
              </w:rPr>
              <w:t>综合考虑投标人服务人员考核方案的全面性、科学性、针对性、可行性等 因素。 (1)方案全面完善、科学，可行性及针对性强，具有健全的考核制 度，能够完全满足采购人实际需要的，得10分；(2)方案较为全面、科学, 可行性及针对性较强，具有较全面的考核制度，能够较好满足采购人实际 需要的，得7分；(3)方案完整性、科学性，可行性及针对性一般，具有考 核制度，能够基本满足采购人实际需要的，得4分；(4)方案不完整, 可行 性及针对性较差、考核制度不规范，无法满足采购人实际需要的，得1分 ; (5)方案差或未提供方案的，不得分。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(1) 流程清晰合理、内容完整详细、可操作性强，响应迅速，得10分；(2) 流程清晰较合理、内容较完整详细、可操作较性强，响应较迅速，得7分 ; (3) 流程较清晰、内容较完整、可操作性一般，响应速度一般，得4分； (4)内容不完整、可操作性较差，响应速度较差，得1分；(5) 方案差或未 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投标人应承诺：双方签订合同并生效后，设立三个月的服务过渡期，过渡 期间承诺不得调整、更换采购人确认的服务人员 (含采购人原岗位及中标 方提供人员)，过渡期后服务方案名单确定，合同期内中标方不得随意调整 确定后的服务岗位名单。 注：应提供书面承诺，并加盖投标人公章，得5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提供近3年(2021年4月1日至今)与本项目类似的业绩(以合同签订时间为准 )，每项业绩2分，最高10分。 注：相关证明材料至少须包括首页、服务内 容、合同签订日期页面、盖章页，复印件并加盖公章，否则不得分。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认证证书</w:t>
            </w:r>
          </w:p>
        </w:tc>
        <w:tc>
          <w:tcPr>
            <w:tcW w:type="dxa" w:w="3115"/>
          </w:tcPr>
          <w:p>
            <w:pPr>
              <w:pStyle w:val="null5"/>
              <w:jc w:val="left"/>
            </w:pPr>
            <w:r>
              <w:rPr>
                <w:rFonts w:ascii="仿宋_GB2312" w:hAnsi="仿宋_GB2312" w:cs="仿宋_GB2312" w:eastAsia="仿宋_GB2312"/>
              </w:rPr>
              <w:t>1.具有质量管理体系认证证书得1分；2.具有人力资源服务许可证得2分； 3.项目经理具有人力资源管理专业资格证书2分。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