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巴彦淖尔市信用信息共享平台（二期）运行维保项目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巴彦淖尔市公共资源交易中心（政府采购中心）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巴彦淖尔市公共资源交易中心（政府采购中心）</w:t>
      </w:r>
      <w:r>
        <w:rPr>
          <w:rFonts w:ascii="仿宋_GB2312" w:hAnsi="仿宋_GB2312" w:cs="仿宋_GB2312" w:eastAsia="仿宋_GB2312"/>
        </w:rPr>
        <w:t xml:space="preserve"> 受 </w:t>
      </w:r>
      <w:r>
        <w:rPr>
          <w:rFonts w:ascii="仿宋_GB2312" w:hAnsi="仿宋_GB2312" w:cs="仿宋_GB2312" w:eastAsia="仿宋_GB2312"/>
        </w:rPr>
        <w:t>巴彦淖尔市发展和改革委员会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巴彦淖尔市信用信息共享平台（二期）运行维保项目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巴彦淖尔市信用信息共享平台（二期）运行维保项目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巴政采计划[2025]00381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巴彦淖尔市信用信息共享平台（二期）运行维保项目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巴彦淖尔市公共资源交易中心（政府采购中心）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内蒙古自治区巴彦淖尔市临河区新华西街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0478-8926704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临河区新华西街发展大厦</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17504787770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本项目采购合同为一签多年（三年），以第一年采购金额为标的实施采购活动，第二年、第三年按照采购合同严格履约验收后，一年一签。</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巴彦淖尔市发展和改革委员会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巴彦淖尔市公共资源交易中心（政府采购中心）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旨在通过引入具有相关技术实力和专业技术人员的合作伙伴，确保巴彦淖尔市信用信息共享平台运行维保服务项目的顺畅运行，并满足信用中国(内蒙古巴彦淖尔)网站、各类系统的运维服务、三级等保测评服务、密码测评服务等需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合同签订后365个日历日内完成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巴彦淖尔市（采购人要求地点）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1、具体支付要求合同中另行约定，达到付款条件起7日，支付合同总金额的35.00%</w:t>
            </w:r>
          </w:p>
          <w:p>
            <w:pPr>
              <w:pStyle w:val="null5"/>
              <w:jc w:val="left"/>
            </w:pPr>
            <w:r>
              <w:rPr>
                <w:rFonts w:ascii="仿宋_GB2312" w:hAnsi="仿宋_GB2312" w:cs="仿宋_GB2312" w:eastAsia="仿宋_GB2312"/>
              </w:rPr>
              <w:t>2、具体支付要求合同中另行约定，达到付款条件起7日，支付合同总金额的35.00%</w:t>
            </w:r>
          </w:p>
          <w:p>
            <w:pPr>
              <w:pStyle w:val="null5"/>
              <w:jc w:val="left"/>
            </w:pPr>
            <w:r>
              <w:rPr>
                <w:rFonts w:ascii="仿宋_GB2312" w:hAnsi="仿宋_GB2312" w:cs="仿宋_GB2312" w:eastAsia="仿宋_GB2312"/>
              </w:rPr>
              <w:t>3、具体支付要求合同中另行约定，达到付款条件起7日，支付合同总金额的30.00%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标的名称：巴彦淖尔市信用信息共享平台（二期）运行维保项目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主要维保内容</w:t>
            </w:r>
          </w:p>
          <w:p>
            <w:pPr>
              <w:pStyle w:val="null5"/>
              <w:ind w:firstLine="420"/>
              <w:jc w:val="both"/>
            </w:pPr>
            <w:r>
              <w:rPr>
                <w:rFonts w:ascii="仿宋_GB2312" w:hAnsi="仿宋_GB2312" w:cs="仿宋_GB2312" w:eastAsia="仿宋_GB2312"/>
                <w:sz w:val="21"/>
              </w:rPr>
              <w:t>1.平台基础运维服务</w:t>
            </w:r>
          </w:p>
          <w:p>
            <w:pPr>
              <w:pStyle w:val="null5"/>
              <w:ind w:firstLine="420"/>
              <w:jc w:val="both"/>
            </w:pPr>
            <w:r>
              <w:rPr>
                <w:rFonts w:ascii="仿宋_GB2312" w:hAnsi="仿宋_GB2312" w:cs="仿宋_GB2312" w:eastAsia="仿宋_GB2312"/>
                <w:sz w:val="21"/>
              </w:rPr>
              <w:t>对平台已建设的信用中国（内蒙古巴彦淖尔）网站、数据报送管理系统、数据处理系统、数据治理系统、数据资源管理系统、信用评价提示系统、信用主体关联分析系统、信用信息采集系统、城市信用监测系统、信用风险监测预警系统、信用信息共享平台、信用承诺管理系统、公共信用综合评价系统、信用信息报告服务系统、分级分类信用监管系统、政务诚信管理系统、信用工作监测系统、联合奖惩系统、信用修复系统、信用档案系统、综合管理系统等应用系统提供基础保障，及时处理平台故障、修复系统</w:t>
            </w:r>
            <w:r>
              <w:rPr>
                <w:rFonts w:ascii="仿宋_GB2312" w:hAnsi="仿宋_GB2312" w:cs="仿宋_GB2312" w:eastAsia="仿宋_GB2312"/>
                <w:sz w:val="21"/>
              </w:rPr>
              <w:t>bug以及部分系统功能优化，开展信用系统应用培训，协助做好信用业务的支撑工作。</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1）系统运维</w:t>
            </w:r>
          </w:p>
          <w:p>
            <w:pPr>
              <w:pStyle w:val="null5"/>
              <w:ind w:firstLine="420"/>
              <w:jc w:val="both"/>
            </w:pPr>
            <w:r>
              <w:rPr>
                <w:rFonts w:ascii="仿宋_GB2312" w:hAnsi="仿宋_GB2312" w:cs="仿宋_GB2312" w:eastAsia="仿宋_GB2312"/>
                <w:sz w:val="21"/>
              </w:rPr>
              <w:t>应用运行情况监测。对平台中各应用系统进行巡检，每天定期查看各系统的运行情况，对于应用系统异常情况进行登记，研判异常产生原因，并及时进行处理和维护。</w:t>
            </w:r>
          </w:p>
          <w:p>
            <w:pPr>
              <w:pStyle w:val="null5"/>
              <w:ind w:firstLine="420"/>
              <w:jc w:val="both"/>
            </w:pPr>
            <w:r>
              <w:rPr>
                <w:rFonts w:ascii="仿宋_GB2312" w:hAnsi="仿宋_GB2312" w:cs="仿宋_GB2312" w:eastAsia="仿宋_GB2312"/>
                <w:sz w:val="21"/>
              </w:rPr>
              <w:t>故障处理及</w:t>
            </w:r>
            <w:r>
              <w:rPr>
                <w:rFonts w:ascii="仿宋_GB2312" w:hAnsi="仿宋_GB2312" w:cs="仿宋_GB2312" w:eastAsia="仿宋_GB2312"/>
                <w:sz w:val="21"/>
              </w:rPr>
              <w:t>bug修复。对于在日常使用中发现的系统故障进行判断，找到系统故障所在，并对出现的故障进行处理，若经过分析、研判确定为系统缺陷或bug所造成的问题，则对bug进行修复。</w:t>
            </w:r>
          </w:p>
          <w:p>
            <w:pPr>
              <w:pStyle w:val="null5"/>
              <w:ind w:firstLine="420"/>
              <w:jc w:val="both"/>
            </w:pPr>
            <w:r>
              <w:rPr>
                <w:rFonts w:ascii="仿宋_GB2312" w:hAnsi="仿宋_GB2312" w:cs="仿宋_GB2312" w:eastAsia="仿宋_GB2312"/>
                <w:sz w:val="21"/>
              </w:rPr>
              <w:t>系统功能优化。根据国家社会信用体系建设的新要求和标准，结合巴彦淖尔市社会信用体系建设实际情况，提供系统的优化升级服务，如</w:t>
            </w:r>
            <w:r>
              <w:rPr>
                <w:rFonts w:ascii="仿宋_GB2312" w:hAnsi="仿宋_GB2312" w:cs="仿宋_GB2312" w:eastAsia="仿宋_GB2312"/>
                <w:sz w:val="21"/>
              </w:rPr>
              <w:t>“双公示”校验规则更新、数据上报系统功能优化升级、联合奖惩插件维护和更新等。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2）系统培训</w:t>
            </w:r>
          </w:p>
          <w:p>
            <w:pPr>
              <w:pStyle w:val="null5"/>
              <w:ind w:firstLine="420"/>
              <w:jc w:val="both"/>
            </w:pPr>
            <w:r>
              <w:rPr>
                <w:rFonts w:ascii="仿宋_GB2312" w:hAnsi="仿宋_GB2312" w:cs="仿宋_GB2312" w:eastAsia="仿宋_GB2312"/>
                <w:sz w:val="21"/>
              </w:rPr>
              <w:t>提供系统培训服务，一方面是结合应用系统的上线使用情况和优化更新情况，不定期地对更新的功能进行系统操作层面的培训，提高各使用单位相关人员相关信用应用系统的操作水平。另一方面根据巴彦淖尔市信用宣传推广等要求，配合完成平台系统培训，提高信用信息平台访问量和使用率。</w:t>
            </w:r>
          </w:p>
          <w:p>
            <w:pPr>
              <w:pStyle w:val="null5"/>
              <w:ind w:firstLine="420"/>
              <w:jc w:val="both"/>
            </w:pPr>
            <w:r>
              <w:rPr>
                <w:rFonts w:ascii="仿宋_GB2312" w:hAnsi="仿宋_GB2312" w:cs="仿宋_GB2312" w:eastAsia="仿宋_GB2312"/>
                <w:sz w:val="21"/>
              </w:rPr>
              <w:t>2.信用数据运维服务</w:t>
            </w:r>
          </w:p>
          <w:p>
            <w:pPr>
              <w:pStyle w:val="null5"/>
              <w:ind w:firstLine="420"/>
              <w:jc w:val="both"/>
            </w:pPr>
            <w:r>
              <w:rPr>
                <w:rFonts w:ascii="仿宋_GB2312" w:hAnsi="仿宋_GB2312" w:cs="仿宋_GB2312" w:eastAsia="仿宋_GB2312"/>
                <w:sz w:val="21"/>
              </w:rPr>
              <w:t>提供信用数据运维服务，对持续进行的信用数据归集工作提供支持。实现各部门、各行业信用数据的采集、清洗、加工、入库、封装、共享等全流程归集共享，为各个领域信用应用提供高质量的数据支撑。主要服务内容包括数据对接、数据维护、数据处理和数据共享支撑四个方面。</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1）数据对接</w:t>
            </w:r>
          </w:p>
          <w:p>
            <w:pPr>
              <w:pStyle w:val="null5"/>
              <w:ind w:firstLine="420"/>
              <w:jc w:val="both"/>
            </w:pPr>
            <w:r>
              <w:rPr>
                <w:rFonts w:ascii="仿宋_GB2312" w:hAnsi="仿宋_GB2312" w:cs="仿宋_GB2312" w:eastAsia="仿宋_GB2312"/>
                <w:sz w:val="21"/>
              </w:rPr>
              <w:t>根据巴彦淖尔市社会信用体系建设工作需求，为常态化开展数据归集工作提供支撑。通过开发数据接口和数据库表对接完成与各单位业务系统中信用数据的归集；维护现有数据对接接口，确保与巴彦淖尔市政务信息资源共享平台数据共享通道的畅通；根据数据归集的最新要求更新数据上报模板实现半自动化信用数据归集。</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2）数据维护</w:t>
            </w:r>
          </w:p>
          <w:p>
            <w:pPr>
              <w:pStyle w:val="null5"/>
              <w:ind w:firstLine="420"/>
              <w:jc w:val="both"/>
            </w:pPr>
            <w:r>
              <w:rPr>
                <w:rFonts w:ascii="仿宋_GB2312" w:hAnsi="仿宋_GB2312" w:cs="仿宋_GB2312" w:eastAsia="仿宋_GB2312"/>
                <w:sz w:val="21"/>
              </w:rPr>
              <w:t>对巴彦淖尔市信用信息共享平台中的数据进行维护，数据维护工作主要包括数据库巡检、数据备份服务、数据系统资源配置优化等。</w:t>
            </w:r>
          </w:p>
          <w:p>
            <w:pPr>
              <w:pStyle w:val="null5"/>
              <w:ind w:firstLine="420"/>
              <w:jc w:val="both"/>
            </w:pPr>
            <w:r>
              <w:rPr>
                <w:rFonts w:ascii="仿宋_GB2312" w:hAnsi="仿宋_GB2312" w:cs="仿宋_GB2312" w:eastAsia="仿宋_GB2312"/>
                <w:sz w:val="21"/>
              </w:rPr>
              <w:t>数据库巡检。对信息资源数据库数据存储的数据表空间情况进行分析检查和维护，仔细评估数据库中各个表的使用情况，检查表空间是否足够，并采取必要的措施进行扩容或优化。在检查维护数据用户权限维护方面，确保只有经过授权的用户才能访问和操作数据库中的数据，定期对用户权限进行审查和更新。对数据库表的数据结构进行维护时，对表的设计和结构进行评估，根据实际需要进行修改和优化，确保数据的准确性和完整性。</w:t>
            </w:r>
          </w:p>
          <w:p>
            <w:pPr>
              <w:pStyle w:val="null5"/>
              <w:ind w:firstLine="420"/>
              <w:jc w:val="both"/>
            </w:pPr>
            <w:r>
              <w:rPr>
                <w:rFonts w:ascii="仿宋_GB2312" w:hAnsi="仿宋_GB2312" w:cs="仿宋_GB2312" w:eastAsia="仿宋_GB2312"/>
                <w:sz w:val="21"/>
              </w:rPr>
              <w:t>数据库维护。对巴彦淖尔市信用信息共享平台的各数据库进行维护，包括定期检查数据库的可用性、性能和安全性。同时，检查数据库访问日志和错误日志也是一项重要的任务，这些曰志可以帮助发现和追踪潜在的安全问题，确保数据库不会被非法访问。为了确保平台正常运行，检查错误日志也是必不可少的，一旦发现严重的错误，可立即采取措施解决，以避免导致平台停运。</w:t>
            </w:r>
          </w:p>
          <w:p>
            <w:pPr>
              <w:pStyle w:val="null5"/>
              <w:ind w:firstLine="420"/>
              <w:jc w:val="both"/>
            </w:pPr>
            <w:r>
              <w:rPr>
                <w:rFonts w:ascii="仿宋_GB2312" w:hAnsi="仿宋_GB2312" w:cs="仿宋_GB2312" w:eastAsia="仿宋_GB2312"/>
                <w:sz w:val="21"/>
              </w:rPr>
              <w:t>数据备份。根据信用信息数据库备份计划和策略，定期对数据库进行增量备份或完整备份确保数据的安全和可用性。</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3）数据处理</w:t>
            </w:r>
          </w:p>
          <w:p>
            <w:pPr>
              <w:pStyle w:val="null5"/>
              <w:ind w:firstLine="420"/>
              <w:jc w:val="both"/>
            </w:pPr>
            <w:r>
              <w:rPr>
                <w:rFonts w:ascii="仿宋_GB2312" w:hAnsi="仿宋_GB2312" w:cs="仿宋_GB2312" w:eastAsia="仿宋_GB2312"/>
                <w:sz w:val="21"/>
              </w:rPr>
              <w:t>提供专业的数据处理服务，以满足巴彦淖尔市社会信用体系建设工作的需要。为了满足不同部门、不同领域、不同行业的信用应用服务对数据的需求，对信用信息数据进行加工处理，确保提供的数据针对性强且符合信用应用开展的要求。为信用应用具体工作的落地提供精准、高效的数据支持</w:t>
            </w:r>
            <w:r>
              <w:rPr>
                <w:rFonts w:ascii="仿宋_GB2312" w:hAnsi="仿宋_GB2312" w:cs="仿宋_GB2312" w:eastAsia="仿宋_GB2312"/>
                <w:sz w:val="21"/>
              </w:rPr>
              <w:t>,以推动巴彦淖尔市社会信用体系建设水平的提升。</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4）数据共享支撑</w:t>
            </w:r>
          </w:p>
          <w:p>
            <w:pPr>
              <w:pStyle w:val="null5"/>
              <w:ind w:firstLine="420"/>
              <w:jc w:val="both"/>
            </w:pPr>
            <w:r>
              <w:rPr>
                <w:rFonts w:ascii="仿宋_GB2312" w:hAnsi="仿宋_GB2312" w:cs="仿宋_GB2312" w:eastAsia="仿宋_GB2312"/>
                <w:sz w:val="21"/>
              </w:rPr>
              <w:t>根据实际业务需求对数据共享需求进行梳理，通过专业的服务和数据处理技术，实现与巴彦淖尔市各个信用数据共享部门、第三方单位等的信用业务共享协同，推进信用信息的应用，不断拓展信用信息的应用范围，提高信用信息的使用效率，提供更加便捷的数据共享服务。</w:t>
            </w:r>
          </w:p>
          <w:p>
            <w:pPr>
              <w:pStyle w:val="null5"/>
              <w:ind w:firstLine="420"/>
              <w:jc w:val="both"/>
            </w:pPr>
            <w:r>
              <w:rPr>
                <w:rFonts w:ascii="仿宋_GB2312" w:hAnsi="仿宋_GB2312" w:cs="仿宋_GB2312" w:eastAsia="仿宋_GB2312"/>
                <w:sz w:val="21"/>
              </w:rPr>
              <w:t>3.信用业务支撑服务</w:t>
            </w:r>
          </w:p>
          <w:p>
            <w:pPr>
              <w:pStyle w:val="null5"/>
              <w:ind w:firstLine="420"/>
              <w:jc w:val="both"/>
            </w:pPr>
            <w:r>
              <w:rPr>
                <w:rFonts w:ascii="仿宋_GB2312" w:hAnsi="仿宋_GB2312" w:cs="仿宋_GB2312" w:eastAsia="仿宋_GB2312"/>
                <w:sz w:val="21"/>
              </w:rPr>
              <w:t>协助巴彦淖尔市发展和改革委员会做好社会信用体系建设业务支撑工作，包括但不限于</w:t>
            </w:r>
            <w:r>
              <w:rPr>
                <w:rFonts w:ascii="仿宋_GB2312" w:hAnsi="仿宋_GB2312" w:cs="仿宋_GB2312" w:eastAsia="仿宋_GB2312"/>
                <w:sz w:val="21"/>
              </w:rPr>
              <w:t>“双公示”工作支撑、联合奖惩工作支撑、信用修复和异议工作支撑等。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1）“十公示”工作支撑</w:t>
            </w:r>
          </w:p>
          <w:p>
            <w:pPr>
              <w:pStyle w:val="null5"/>
              <w:ind w:firstLine="420"/>
              <w:jc w:val="both"/>
            </w:pPr>
            <w:r>
              <w:rPr>
                <w:rFonts w:ascii="仿宋_GB2312" w:hAnsi="仿宋_GB2312" w:cs="仿宋_GB2312" w:eastAsia="仿宋_GB2312"/>
                <w:sz w:val="21"/>
              </w:rPr>
              <w:t>作为信用工作中一项重要工作</w:t>
            </w:r>
            <w:r>
              <w:rPr>
                <w:rFonts w:ascii="仿宋_GB2312" w:hAnsi="仿宋_GB2312" w:cs="仿宋_GB2312" w:eastAsia="仿宋_GB2312"/>
                <w:sz w:val="21"/>
              </w:rPr>
              <w:t>“十公示”需要花费很大的精力提高数据归集的及时性、完整性和准确性。将按照国家“十公示”数据标准完成“十公示”数据校验规则的更新并对数据进行校验。持续进行“十公示”业务对接，保证业务处理的及时性。按月输出“十公示”月报为“十公示”工作分析提供材料依据。按要求完成“十公示”数据统计工作，直观展示“十公示”工作成效。</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2）联合奖惩工作支持</w:t>
            </w:r>
          </w:p>
          <w:p>
            <w:pPr>
              <w:pStyle w:val="null5"/>
              <w:ind w:firstLine="420"/>
              <w:jc w:val="both"/>
            </w:pPr>
            <w:r>
              <w:rPr>
                <w:rFonts w:ascii="仿宋_GB2312" w:hAnsi="仿宋_GB2312" w:cs="仿宋_GB2312" w:eastAsia="仿宋_GB2312"/>
                <w:sz w:val="21"/>
              </w:rPr>
              <w:t>为联合奖惩工作提供支持，做好与各部门联合奖惩工作相关的业务对接，通过接口、插件等方式实现联合奖惩系统与行政管理部门业务系统的对接，对联合奖惩插件进行管理和维护。</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3）应用系统配置</w:t>
            </w:r>
          </w:p>
          <w:p>
            <w:pPr>
              <w:pStyle w:val="null5"/>
              <w:ind w:firstLine="420"/>
              <w:jc w:val="both"/>
            </w:pPr>
            <w:r>
              <w:rPr>
                <w:rFonts w:ascii="仿宋_GB2312" w:hAnsi="仿宋_GB2312" w:cs="仿宋_GB2312" w:eastAsia="仿宋_GB2312"/>
                <w:sz w:val="21"/>
              </w:rPr>
              <w:t>按照信用工作的实际需求，对相关业务系统进行配置管理。需要进行系统配置内容包括：信用档案模板配置、信用档案数据配置、信用报告模板配置、信用承诺模板配置等。</w:t>
            </w:r>
            <w:r>
              <w:rPr>
                <w:rFonts w:ascii="仿宋_GB2312" w:hAnsi="仿宋_GB2312" w:cs="仿宋_GB2312" w:eastAsia="仿宋_GB2312"/>
                <w:sz w:val="21"/>
              </w:rPr>
              <w:t xml:space="preserve">      </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4）信用修复和异议处理</w:t>
            </w:r>
          </w:p>
          <w:p>
            <w:pPr>
              <w:pStyle w:val="null5"/>
              <w:ind w:firstLine="420"/>
              <w:jc w:val="both"/>
            </w:pPr>
            <w:r>
              <w:rPr>
                <w:rFonts w:ascii="仿宋_GB2312" w:hAnsi="仿宋_GB2312" w:cs="仿宋_GB2312" w:eastAsia="仿宋_GB2312"/>
                <w:sz w:val="21"/>
              </w:rPr>
              <w:t>为巴彦淖尔市信用异议和信用修复工作提供支撑，及时对经营主体发起的信用异议数据进行处理。及时将经营主体已完成信用修复的失信公示记录，从信用中国</w:t>
            </w:r>
            <w:r>
              <w:rPr>
                <w:rFonts w:ascii="仿宋_GB2312" w:hAnsi="仿宋_GB2312" w:cs="仿宋_GB2312" w:eastAsia="仿宋_GB2312"/>
                <w:sz w:val="21"/>
              </w:rPr>
              <w:t>(内蒙古巴彦 淖尔)网站及信用信息公示系统中撤销公示。</w:t>
            </w:r>
          </w:p>
          <w:p>
            <w:pPr>
              <w:pStyle w:val="null5"/>
              <w:ind w:firstLine="420"/>
              <w:jc w:val="both"/>
            </w:pPr>
            <w:r>
              <w:rPr>
                <w:rFonts w:ascii="仿宋_GB2312" w:hAnsi="仿宋_GB2312" w:cs="仿宋_GB2312" w:eastAsia="仿宋_GB2312"/>
                <w:sz w:val="21"/>
              </w:rPr>
              <w:t>信用修复工作支撑。根据</w:t>
            </w:r>
            <w:r>
              <w:rPr>
                <w:rFonts w:ascii="仿宋_GB2312" w:hAnsi="仿宋_GB2312" w:cs="仿宋_GB2312" w:eastAsia="仿宋_GB2312"/>
                <w:sz w:val="21"/>
              </w:rPr>
              <w:t>“信用中国”网站信用修复流程指引要求，不定期为各级社会信用体系建设牵头部门、行政处罚决定部门、信用修复主体等提供信用修复专题培训，提供业务咨询服务，引导信用修复主体开展信用修复工作，并解答其在信用修复过程中的相关疑问。保持与自治区社会信用体系建设牵头部门的沟通工作，及时了解国家、自治区关于信用修复工作的相关要求，对本地信用修复的特殊情况及时向自治区社会信用体系建设牵头部门进行反馈和沟通，并根据国家、自治区相关要求，结合本地实际，协助编写信用修复相关文件。</w:t>
            </w:r>
          </w:p>
          <w:p>
            <w:pPr>
              <w:pStyle w:val="null5"/>
              <w:ind w:firstLine="420"/>
              <w:jc w:val="both"/>
            </w:pPr>
            <w:r>
              <w:rPr>
                <w:rFonts w:ascii="仿宋_GB2312" w:hAnsi="仿宋_GB2312" w:cs="仿宋_GB2312" w:eastAsia="仿宋_GB2312"/>
                <w:sz w:val="21"/>
              </w:rPr>
              <w:t>信用异议工作支撑。根据</w:t>
            </w:r>
            <w:r>
              <w:rPr>
                <w:rFonts w:ascii="仿宋_GB2312" w:hAnsi="仿宋_GB2312" w:cs="仿宋_GB2312" w:eastAsia="仿宋_GB2312"/>
                <w:sz w:val="21"/>
              </w:rPr>
              <w:t>“信用中国”网站公示的信息异议申诉指南相关要 求，在异议申诉范围内(公示信息错误、遗漏、重复公示、 不应公示、超期公示或与认定机关信息不一致等问题)，为社会信用体系建设牵头部门、行政处罚决定部门、申诉人等提供定期的信用异议申诉专题培训，按照所申诉问题对应的信息类型，指导申诉人在规定时限内填写异议申请材料、提 供相应证明材料，协助用户开展信息审核工作，对申诉人所提供的异议申请材料进行审核。协助跟踪了解异议处置进度,若信用异议申请数据未通过信源单位核实，根据信源单位告知的理由及时沟通信源单位、信用信息发布部门以及申诉人，评估审核处置理由及申诉材料的合理性，若申诉人对处置结 果仍有异议，指导申诉人补正申诉材料并报送至上级信用平台进行申诉复议。</w:t>
            </w:r>
          </w:p>
          <w:p>
            <w:pPr>
              <w:pStyle w:val="null5"/>
              <w:ind w:firstLine="420"/>
              <w:jc w:val="both"/>
            </w:pPr>
            <w:r>
              <w:rPr>
                <w:rFonts w:ascii="仿宋_GB2312" w:hAnsi="仿宋_GB2312" w:cs="仿宋_GB2312" w:eastAsia="仿宋_GB2312"/>
                <w:sz w:val="21"/>
              </w:rPr>
              <w:t>4.信用中国（内蒙古巴彦淖尔）网站运营服务</w:t>
            </w:r>
          </w:p>
          <w:p>
            <w:pPr>
              <w:pStyle w:val="null5"/>
              <w:ind w:firstLine="420"/>
              <w:jc w:val="both"/>
            </w:pPr>
            <w:r>
              <w:rPr>
                <w:rFonts w:ascii="仿宋_GB2312" w:hAnsi="仿宋_GB2312" w:cs="仿宋_GB2312" w:eastAsia="仿宋_GB2312"/>
                <w:sz w:val="21"/>
              </w:rPr>
              <w:t>信用中国（内蒙古巴彦淖尔）门户网站，是承担巴彦淖尔市社会信用建设宣传服务的重要载体，根据国家相关要求持续保障网站内容的更新和稳定运行。服务主要包括信用门户内容更新、信用门户运维工作。</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1）更新优化</w:t>
            </w:r>
          </w:p>
          <w:p>
            <w:pPr>
              <w:pStyle w:val="null5"/>
              <w:ind w:firstLine="420"/>
              <w:jc w:val="both"/>
            </w:pPr>
            <w:r>
              <w:rPr>
                <w:rFonts w:ascii="仿宋_GB2312" w:hAnsi="仿宋_GB2312" w:cs="仿宋_GB2312" w:eastAsia="仿宋_GB2312"/>
                <w:sz w:val="21"/>
              </w:rPr>
              <w:t>主要包括结合国家、自治区相关要求，提供相关模块的更新优化服务，包括开通专题模块、更新模块样式、改版模块内容等相关服务内容，对信用中国（内蒙古巴彦淖尔）网站实现信用政策、信用动态情况及时更新，保障信息更新的实时性。</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2）网站运维</w:t>
            </w:r>
          </w:p>
          <w:p>
            <w:pPr>
              <w:pStyle w:val="null5"/>
              <w:ind w:firstLine="420"/>
              <w:jc w:val="both"/>
            </w:pPr>
            <w:r>
              <w:rPr>
                <w:rFonts w:ascii="仿宋_GB2312" w:hAnsi="仿宋_GB2312" w:cs="仿宋_GB2312" w:eastAsia="仿宋_GB2312"/>
                <w:sz w:val="21"/>
              </w:rPr>
              <w:t>提供每日巡检和技术处理服务，定期查看运行情况，保障网站的正常稳定运行。</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3）意识形态检查</w:t>
            </w:r>
          </w:p>
          <w:p>
            <w:pPr>
              <w:pStyle w:val="null5"/>
              <w:ind w:firstLine="420"/>
              <w:jc w:val="both"/>
            </w:pPr>
            <w:r>
              <w:rPr>
                <w:rFonts w:ascii="仿宋_GB2312" w:hAnsi="仿宋_GB2312" w:cs="仿宋_GB2312" w:eastAsia="仿宋_GB2312"/>
                <w:sz w:val="21"/>
              </w:rPr>
              <w:t>巴彦淖尔市社会信用体系建设的重要对外窗口，信用门户承载着与公众和企业主体进行交互的重大责任。所发布信息的准确性对社会信用体系建设至关重要，因为它直接影响到公众对于信用体系建设的信任度和满意度。需提供意识形态检查服务，对信用门户发布内容进行检查，避免出现意识形态方面的错误，确保信息的准确性和公正性。</w:t>
            </w:r>
          </w:p>
          <w:p>
            <w:pPr>
              <w:pStyle w:val="null5"/>
              <w:ind w:firstLine="420"/>
              <w:jc w:val="both"/>
            </w:pPr>
            <w:r>
              <w:rPr>
                <w:rFonts w:ascii="仿宋_GB2312" w:hAnsi="仿宋_GB2312" w:cs="仿宋_GB2312" w:eastAsia="仿宋_GB2312"/>
                <w:sz w:val="21"/>
              </w:rPr>
              <w:t>5.城市信用状况监测服务</w:t>
            </w:r>
          </w:p>
          <w:p>
            <w:pPr>
              <w:pStyle w:val="null5"/>
              <w:ind w:firstLine="420"/>
              <w:jc w:val="both"/>
            </w:pPr>
            <w:r>
              <w:rPr>
                <w:rFonts w:ascii="仿宋_GB2312" w:hAnsi="仿宋_GB2312" w:cs="仿宋_GB2312" w:eastAsia="仿宋_GB2312"/>
                <w:sz w:val="21"/>
              </w:rPr>
              <w:t>按照国家发展和改革委员会开展城市信用建设的要求，结合城市信用排名情况，深入分析、查漏补缺，推动巴彦淖尔市城市信用排名稳中有升。</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1）国家监测指标体系跟踪</w:t>
            </w:r>
          </w:p>
          <w:p>
            <w:pPr>
              <w:pStyle w:val="null5"/>
              <w:ind w:firstLine="420"/>
              <w:jc w:val="both"/>
            </w:pPr>
            <w:r>
              <w:rPr>
                <w:rFonts w:ascii="仿宋_GB2312" w:hAnsi="仿宋_GB2312" w:cs="仿宋_GB2312" w:eastAsia="仿宋_GB2312"/>
                <w:sz w:val="21"/>
              </w:rPr>
              <w:t>对城市信用状况监测指标体系的变化保持长期跟踪，具体跟踪内容包括指标增减合并变动、指标评分方法变动、指标上报方式变动、指标平均值变动等，保持对指标体系的最新变动的持续跟踪，为后期城市信用监测服务工作提供支撑。</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2）监测分析总结</w:t>
            </w:r>
          </w:p>
          <w:p>
            <w:pPr>
              <w:pStyle w:val="null5"/>
              <w:ind w:firstLine="420"/>
              <w:jc w:val="both"/>
            </w:pPr>
            <w:r>
              <w:rPr>
                <w:rFonts w:ascii="仿宋_GB2312" w:hAnsi="仿宋_GB2312" w:cs="仿宋_GB2312" w:eastAsia="仿宋_GB2312"/>
                <w:sz w:val="21"/>
              </w:rPr>
              <w:t>根据每月城市信用月报和最新版城市信用状况监测指标逐项梳理失分点，分析并总结问题。找出信用建设的优势和不足，确定信用建设提升方向，有针对性地开展提升工作。此外，通过对城市逐月信用监测排名统计分析，总结全国城市信用监测排名整体变动情况，整理优秀城市工作经验、做法和排名靠后城市问题分析，对全国城市信用监测工作有整体的了解，有助于及时吸取优秀经验，为巴彦淖尔市城市信用监测工作提供参考借鉴。</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3）指标材料报送及质量把控</w:t>
            </w:r>
          </w:p>
          <w:p>
            <w:pPr>
              <w:pStyle w:val="null5"/>
              <w:ind w:firstLine="420"/>
              <w:jc w:val="both"/>
            </w:pPr>
            <w:r>
              <w:rPr>
                <w:rFonts w:ascii="仿宋_GB2312" w:hAnsi="仿宋_GB2312" w:cs="仿宋_GB2312" w:eastAsia="仿宋_GB2312"/>
                <w:sz w:val="21"/>
              </w:rPr>
              <w:t>持续跟踪总结分析相关数据上报标准，严格按照《城市信用状况监测预警指标》《城市信用监测系统指标上报说明》《上报案例说明》等文件要求，定期收集各单位、各区县的相关信息，并通过全国城市信用状况监测平台开展指标材料的报送工作，协助相关人员对指标材料上报质量进行监测分析，实时把控上报数据质量。</w:t>
            </w:r>
          </w:p>
          <w:p>
            <w:pPr>
              <w:pStyle w:val="null5"/>
              <w:ind w:firstLine="420"/>
              <w:jc w:val="both"/>
            </w:pPr>
            <w:r>
              <w:rPr>
                <w:rFonts w:ascii="仿宋_GB2312" w:hAnsi="仿宋_GB2312" w:cs="仿宋_GB2312" w:eastAsia="仿宋_GB2312"/>
                <w:sz w:val="21"/>
              </w:rPr>
              <w:t>6.等保、密评支持服务</w:t>
            </w:r>
          </w:p>
          <w:p>
            <w:pPr>
              <w:pStyle w:val="null5"/>
              <w:jc w:val="both"/>
            </w:pPr>
            <w:r>
              <w:rPr>
                <w:rFonts w:ascii="仿宋_GB2312" w:hAnsi="仿宋_GB2312" w:cs="仿宋_GB2312" w:eastAsia="仿宋_GB2312"/>
                <w:sz w:val="21"/>
              </w:rPr>
              <w:t>完成巴彦淖尔市信用信息共享平台等保三级评审和国密评审工作，确保平台符合政务信息化平台的安全要求。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1.提供递交投标文件截止之日近一年内（至少一个月）的良好缴纳税收的相关凭据。（以税务机关提供的纳税凭据或银行入账单为准） 2.提供递交投标文件截止之日近一年内（至少一个月）缴纳社会保险的凭证。（以专用收据或社会保险缴纳清单为准） 注：其他组织和自然人也需要提供缴纳税收的凭据及缴纳社保的凭据。依法免税或不需要缴纳社会保障资金的供应商，应提供相应文件证明其依法免税或不需要缴纳社会保障资金。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实施方案进行评审，内容包含但不限于①本服务项目的总体实施方案；②项目实施计划；③项目管理方案、管理计划、管理制度；④项目组织机构及人员配备方案等，内容完整，逻辑清晰，符合本项目要求得20分，以上4项中每缺少一项的扣5分， 每项中内容存在瑕疵，一处瑕疵扣1分，单项得分扣完为止。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质量管理与保障措施</w:t>
            </w:r>
          </w:p>
        </w:tc>
        <w:tc>
          <w:tcPr>
            <w:tcW w:type="dxa" w:w="3115"/>
          </w:tcPr>
          <w:p>
            <w:pPr>
              <w:pStyle w:val="null5"/>
              <w:jc w:val="left"/>
            </w:pPr>
            <w:r>
              <w:rPr>
                <w:rFonts w:ascii="仿宋_GB2312" w:hAnsi="仿宋_GB2312" w:cs="仿宋_GB2312" w:eastAsia="仿宋_GB2312"/>
              </w:rPr>
              <w:t>根据供应商提供的质量管理与保障措施，进行评分，内容应包含但不限于：①质量保障体系；②质量管理原则；③质量保证措施等，内容完整，逻辑清晰，符合本项目要求得15分，以上3项中每缺少一项的扣5分，每项中内容存在瑕疵，一处瑕疵扣1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进度管理与保障措施</w:t>
            </w:r>
          </w:p>
        </w:tc>
        <w:tc>
          <w:tcPr>
            <w:tcW w:type="dxa" w:w="3115"/>
          </w:tcPr>
          <w:p>
            <w:pPr>
              <w:pStyle w:val="null5"/>
              <w:jc w:val="left"/>
            </w:pPr>
            <w:r>
              <w:rPr>
                <w:rFonts w:ascii="仿宋_GB2312" w:hAnsi="仿宋_GB2312" w:cs="仿宋_GB2312" w:eastAsia="仿宋_GB2312"/>
              </w:rPr>
              <w:t>根据供应商提供的进度管理与保障措施，进行评分，内容应包含但不限于：①进度计划；②进度保障措施等，内容完整，逻辑清晰，符合本项目要求得10分，以上2项中每缺少一项的扣5分，每项中内容存在瑕疵，一处瑕疵扣1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故障处理措施及应急预案</w:t>
            </w:r>
          </w:p>
        </w:tc>
        <w:tc>
          <w:tcPr>
            <w:tcW w:type="dxa" w:w="3115"/>
          </w:tcPr>
          <w:p>
            <w:pPr>
              <w:pStyle w:val="null5"/>
              <w:jc w:val="left"/>
            </w:pPr>
            <w:r>
              <w:rPr>
                <w:rFonts w:ascii="仿宋_GB2312" w:hAnsi="仿宋_GB2312" w:cs="仿宋_GB2312" w:eastAsia="仿宋_GB2312"/>
              </w:rPr>
              <w:t>根据供应商提供的进度管理与保障措施，进行评分，内容应包含但不限于：①应急保障措施、应急预案；②故障解决时间等，内容完整，逻辑清晰，符合本项目要求得10分，以上2项中每缺少一项的扣5分，每项中内容存在瑕疵，一处瑕疵扣1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措施进行评审，内容包含但不限于：①需要保密资料的保密措施；②需要保密计算机及设备保密管理措施等，内容完整，逻辑清晰，符合本项目要求得2分，以上2项中每缺少一项的扣1分，每项中内容存在瑕疵，一处瑕疵扣0.5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根据供应商提供的培训方案进行评价:技术培训方案内容全面详细，可操作性强，完全满足本项目需求得3分，未提供不得分。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提供的售后服务进行评分，内容应包含但不限于：①售后服务承诺；②售后服务团队；③售后技术支持；④售后响应时间；⑤售后服务期等，内容完整，逻辑清晰，符合本项目要求得10分，以上5项中每缺少一项的扣2分，每项中内容存在瑕疵，一处瑕疵扣1分，单项得分扣完为止。 注：内容存在瑕疵是指内容不满足项目要求或与项目无关的或与项目不匹配或项目名称、实施地点、涉及的规范、技术服务标准要求与本项目不一致或逻辑不通等情形。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提供近三年(2022年1月至今)承担过或正在承担的信用系统或平台网站建设或维保等类似业绩，以合同扫描件为准，每有一项得2.5分，满分10分。 注：提供佐证材料为合同首页、合同内容和签字盖章页扫描件并加盖公章，缺项视为无效。</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项目人员配置</w:t>
            </w:r>
          </w:p>
        </w:tc>
        <w:tc>
          <w:tcPr>
            <w:tcW w:type="dxa" w:w="3115"/>
          </w:tcPr>
          <w:p>
            <w:pPr>
              <w:pStyle w:val="null5"/>
              <w:jc w:val="left"/>
            </w:pPr>
            <w:r>
              <w:rPr>
                <w:rFonts w:ascii="仿宋_GB2312" w:hAnsi="仿宋_GB2312" w:cs="仿宋_GB2312" w:eastAsia="仿宋_GB2312"/>
              </w:rPr>
              <w:t>1、项目负责人具备计算机技术、通信专业或软件专业技术等相关专业高级职称的得3分，本项最多得3分。 2、其他项目组人员中具有计算机技术、通信专业或软件专业技术等相关专业中级职称及以上资格的每有一人得3分，本项最多得3分。 注：以上人员须提供相关证书扫描件，同一人员不重复计分。还须提供所有项目组人员在递交投标文件截止之日近一年内企业为其依法缴纳的社保证明材料。(如有其它情况不能提供社保证明的，须提供相关有效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承诺函</w:t>
            </w:r>
          </w:p>
        </w:tc>
        <w:tc>
          <w:tcPr>
            <w:tcW w:type="dxa" w:w="3115"/>
          </w:tcPr>
          <w:p>
            <w:pPr>
              <w:pStyle w:val="null5"/>
              <w:jc w:val="left"/>
            </w:pPr>
            <w:r>
              <w:rPr>
                <w:rFonts w:ascii="仿宋_GB2312" w:hAnsi="仿宋_GB2312" w:cs="仿宋_GB2312" w:eastAsia="仿宋_GB2312"/>
              </w:rPr>
              <w:t>1、为本项目配备2名驻场技术运维人员，提供7×24小时运维服务，并承诺在节假日、重大活动安保、公安等级勤务等特殊时段提供7×24小时驻场运维服务，服务内容由采购人安排确认，承诺内容全面详细得2分，未提供不得分。(需提供承诺函，格式自拟) 2、供应商需承诺从项目运维期满之日起，在新供应商到位前继续提供不少于一个月免费的系统基础运维支持服务，同时提供与新供应商的免费交接工作服务，期限不少于一个月，承诺内容全面详细得2分，未提供不得分。(需提供承诺函，格式自拟)</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