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巴彦淖尔市林业管护中心（林场）管护用房建设项目（2024年）</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巴彦淖尔市林业和草原局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巴彦淖尔市公共资源交易中心（政府采购中心）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BSZC-C-G-250004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巴彦淖尔市公共资源交易中心（政府采购中心）</w:t>
      </w:r>
      <w:r>
        <w:rPr>
          <w:rFonts w:ascii="仿宋_GB2312" w:hAnsi="仿宋_GB2312" w:cs="仿宋_GB2312" w:eastAsia="仿宋_GB2312"/>
        </w:rPr>
        <w:t xml:space="preserve"> 受 </w:t>
      </w:r>
      <w:r>
        <w:rPr>
          <w:rFonts w:ascii="仿宋_GB2312" w:hAnsi="仿宋_GB2312" w:cs="仿宋_GB2312" w:eastAsia="仿宋_GB2312"/>
        </w:rPr>
        <w:t>巴彦淖尔市林业和草原局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巴彦淖尔市林业管护中心（林场）管护用房建设项目（2024年）</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巴彦淖尔市林业管护中心（林场）管护用房建设项目（2024年）</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BSZC-C-G-250004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巴政采计划[2025]00448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3,049,967.00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巴彦淖尔市林业管护中心（林场）管护用房建设项目（2024年）</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3,049,967.00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供应商资格条件：投标人须具有独立法人资格并具有建筑工程施工总承包乙级（含）及以上资质，且具备有效的安全生产许可证。（以上资质为住建部最新资质要求2020年11月30日建市（2020）94号《住房和城乡建设部关于印发建设工程企业资质管理制度改革方案的通知》）。根据建办市〔2021〕30号文件《住房和城乡建设部办公厅关于做好建筑业“证照分离”改革衔接有关工作的通知》的要求，如投标人还未申办以上资质，“投标人须具有建设行政主管部门颁发的建筑工程施工总承包叁级（含叁级）及以上资质，且具备有效的安全生产许可证”。） 注：提供资质证书及安全生产许可证清晰的原件扫描件）。</w:t>
      </w:r>
    </w:p>
    <w:p>
      <w:pPr>
        <w:pStyle w:val="null5"/>
        <w:jc w:val="left"/>
      </w:pPr>
      <w:r>
        <w:rPr>
          <w:rFonts w:ascii="仿宋_GB2312" w:hAnsi="仿宋_GB2312" w:cs="仿宋_GB2312" w:eastAsia="仿宋_GB2312"/>
        </w:rPr>
        <w:t>2、项目经理资格条件：项目经理（项目负责人）资质类别和等级：承担本工程的项目经理（项目负责人）须具备建筑工程专业二级及以上注册建造师执业资格，同时具备有效的安全生产考核合格证书且现未担任其它在建工程项目的项目经理（项目负责人）。 注：提供项目经理（项目负责人）资格证、注册证、安全生产考核合格证、项目经理无在建承诺书以及2024年6月至今任意一个月缴纳社会保险的凭证（以社会保险缴纳清单为准）（以上证件需提供清晰的原件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巴彦淖尔市公共资源交易中心（政府采购中心）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内蒙古自治区巴彦淖尔市临河区新华西街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高杰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0478-8926704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巴彦淖尔市林业和草原局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巴彦淖尔市临河区新华西街金沙路东</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张振宇</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18604890808 0478-8738007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巴彦淖尔市林业和草原局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巴彦淖尔市公共资源交易中心（政府采购中心）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国有林场管护用房新建4处，重建1处，共计5处，其中，杭锦后旗林业管护中心和乌拉特后旗西补隆林业管护中心各新建管护用房1处，临河区国营新华林场新建管护用房2处、重建管护用房1处。管护用房加固改造2处，其中乌拉特中旗林业管护中心和临河区国营新华林场管护用房各1处，共计2处。管护用房功能完善8处，乌拉特前旗西山咀林业管护中心和临河区国营新华林场管护用房功能完善各2处，磴口县防沙林林业管护中心、乌北林业管护中心、五原县林业管护中心、乌拉特后旗西补隆林业管护中心各1处。（具体内容详见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合同签订后5月31日前完工交付</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临河区、杭锦后旗、乌拉特中旗、五原县、乌拉特前旗、乌拉特后旗、磴口县</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1、按施工进度支付（具体内容合同中约定），达到付款条件起90日，支付合同总金额的100.00%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标的名称：巴彦淖尔市林业管护中心（林场）管护用房建设项目（2024年）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具体施工内容详见工程量清单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供应商需提供2023年度经审计的审计报告若是新成立的供应商，需开具开户银行出具的银行资信证明。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供应商提供2024年6月至今任意一个月企业员工缴纳社会保险资金的凭证及供应商的纳税证明；</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供应商资格条件</w:t>
            </w:r>
          </w:p>
        </w:tc>
        <w:tc>
          <w:tcPr>
            <w:tcW w:type="dxa" w:w="4984"/>
          </w:tcPr>
          <w:p>
            <w:pPr>
              <w:pStyle w:val="null5"/>
              <w:jc w:val="left"/>
            </w:pPr>
            <w:r>
              <w:rPr>
                <w:rFonts w:ascii="仿宋_GB2312" w:hAnsi="仿宋_GB2312" w:cs="仿宋_GB2312" w:eastAsia="仿宋_GB2312"/>
              </w:rPr>
              <w:t>投标人须具有独立法人资格并具有建筑工程施工总承包乙级（含）及以上资质，且具备有效的安全生产许可证。（以上资质为住建部最新资质要求2020年11月30日建市（2020）94号《住房和城乡建设部关于印发建设工程企业资质管理制度改革方案的通知》）。根据建办市〔2021〕30号文件《住房和城乡建设部办公厅关于做好建筑业“证照分离”改革衔接有关工作的通知》的要求，如投标人还未申办以上资质，“投标人须具有建设行政主管部门颁发的建筑工程施工总承包叁级（含叁级）及以上资质，且具备有效的安全生产许可证”。） 注：提供资质证书及安全生产许可证清晰的原件扫描件）。</w:t>
            </w:r>
          </w:p>
        </w:tc>
      </w:tr>
      <w:tr>
        <w:tc>
          <w:tcPr>
            <w:tcW w:type="dxa" w:w="3322"/>
          </w:tcPr>
          <w:p>
            <w:pPr>
              <w:pStyle w:val="null5"/>
              <w:jc w:val="left"/>
            </w:pPr>
            <w:r>
              <w:rPr>
                <w:rFonts w:ascii="仿宋_GB2312" w:hAnsi="仿宋_GB2312" w:cs="仿宋_GB2312" w:eastAsia="仿宋_GB2312"/>
              </w:rPr>
              <w:t>项目经理资格条件</w:t>
            </w:r>
          </w:p>
        </w:tc>
        <w:tc>
          <w:tcPr>
            <w:tcW w:type="dxa" w:w="4984"/>
          </w:tcPr>
          <w:p>
            <w:pPr>
              <w:pStyle w:val="null5"/>
              <w:jc w:val="left"/>
            </w:pPr>
            <w:r>
              <w:rPr>
                <w:rFonts w:ascii="仿宋_GB2312" w:hAnsi="仿宋_GB2312" w:cs="仿宋_GB2312" w:eastAsia="仿宋_GB2312"/>
              </w:rPr>
              <w:t>项目经理（项目负责人）资质类别和等级：承担本工程的项目经理（项目负责人）须具备建筑工程专业二级及以上注册建造师执业资格，同时具备有效的安全生产考核合格证书且现未担任其它在建工程项目的项目经理（项目负责人）。 注：提供项目经理（项目负责人）资格证、注册证、安全生产考核合格证、项目经理无在建承诺书以及2024年6月至今任意一个月缴纳社会保险的凭证（以社会保险缴纳清单为准）（以上证件需提供清晰的原件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报价得分32.00分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施工组织设计方案</w:t>
            </w:r>
          </w:p>
        </w:tc>
        <w:tc>
          <w:tcPr>
            <w:tcW w:type="dxa" w:w="3115"/>
          </w:tcPr>
          <w:p>
            <w:pPr>
              <w:pStyle w:val="null5"/>
              <w:jc w:val="left"/>
            </w:pPr>
            <w:r>
              <w:rPr>
                <w:rFonts w:ascii="仿宋_GB2312" w:hAnsi="仿宋_GB2312" w:cs="仿宋_GB2312" w:eastAsia="仿宋_GB2312"/>
              </w:rPr>
              <w:t>根据供应商提供的针对本项目实际需求的施工组织设计方案（包括但不限于：编制依据、施工工序、关键节点、工艺及做法、施工部署等）进行评审： ①施工技术方案合理且能够高效有序的组织项目实施，施工措施、施工部署全面具体且有针对性的，得10分； ②施工技术方案比较合理且能够有序的组织项目实施，施工措施、施工部署比较全面且有一定针对性的，得8分； ③施工技术方案基本合理，对施工指导性基本可行，施工措施、施工部署基本合理的，得6分； ④施工技术方案欠缺，存在项目实施进度缓慢情况的，施工措施、施工部署能够实施的，得4分； ⑤施工技术方案、施工措施、施工部署存在明显错误或未提供的，得0分。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施工总体进度计划</w:t>
            </w:r>
          </w:p>
        </w:tc>
        <w:tc>
          <w:tcPr>
            <w:tcW w:type="dxa" w:w="3115"/>
          </w:tcPr>
          <w:p>
            <w:pPr>
              <w:pStyle w:val="null5"/>
              <w:jc w:val="left"/>
            </w:pPr>
            <w:r>
              <w:rPr>
                <w:rFonts w:ascii="仿宋_GB2312" w:hAnsi="仿宋_GB2312" w:cs="仿宋_GB2312" w:eastAsia="仿宋_GB2312"/>
              </w:rPr>
              <w:t>根据供应商提供的施工总体进度计划（包含但不限于工期目标、施工进度计划（包括材料设备进场）、工期保证措施、雨季施工措施等）进行评审： ①施工进度计划严格按采购文件工期要求安排，工序搭配逻辑关系和关键线路安排非常清晰、合理，能指导施工，有针对性合理全面的，得10分； ②施工进度计划按采购文件工期要求安排，工序搭配逻辑关系和关键线路安排比较清晰、合理，能指导施工且针对性比较合理的，得8分； ③施工进度计划按采购文件工期要求安排，工序搭配逻辑关系和关键线路安排基本合理，有一定针对性的，得6分； ④施工进度计划按采购文件工期要求安排但有所欠缺，工序搭配逻辑关系和关键线路安排有所欠缺的，得4分； ⑤施工进度计划不合理或未提供施工进度计划的，得0分。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质量保证体系及措施</w:t>
            </w:r>
          </w:p>
        </w:tc>
        <w:tc>
          <w:tcPr>
            <w:tcW w:type="dxa" w:w="3115"/>
          </w:tcPr>
          <w:p>
            <w:pPr>
              <w:pStyle w:val="null5"/>
              <w:jc w:val="left"/>
            </w:pPr>
            <w:r>
              <w:rPr>
                <w:rFonts w:ascii="仿宋_GB2312" w:hAnsi="仿宋_GB2312" w:cs="仿宋_GB2312" w:eastAsia="仿宋_GB2312"/>
              </w:rPr>
              <w:t>根据供应商提供的质量保证体系及措施（包含但不限于质量管理目标、管理组织机构、质量管理制度、质量管理措施或方法）进行评审： ①质量保证体系满足采购文件要求，质量保证措施严格按照施工技术规范、标准编制且针对性全面合理的，得8分； ②质量质量保证体系满足采购文件要求，质量保证措施按照施工技术规范、标准编制且针对性比较合理的，得6分； ③质量质量保证体系满足采购文件要求，质量保证措施基本能够按照施工技术规范、标准编制且针对性基本合理的，得4分； ④质量质量保证体系满足采购文件要求，质量保证措施有所欠缺，针对性一般的，得2分； ⑤质量保证体系或质量保证措施不合理或未提供的，得0分。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安全文明施工保障措施</w:t>
            </w:r>
          </w:p>
        </w:tc>
        <w:tc>
          <w:tcPr>
            <w:tcW w:type="dxa" w:w="3115"/>
          </w:tcPr>
          <w:p>
            <w:pPr>
              <w:pStyle w:val="null5"/>
              <w:jc w:val="left"/>
            </w:pPr>
            <w:r>
              <w:rPr>
                <w:rFonts w:ascii="仿宋_GB2312" w:hAnsi="仿宋_GB2312" w:cs="仿宋_GB2312" w:eastAsia="仿宋_GB2312"/>
              </w:rPr>
              <w:t>根据供应商提供的安全文明施工保障措施（包含但不限于安全施工保证措施、人员安全防护、施工现场临时用电措施、安全施工警示措施、文明施工措施）进行评审： ①安全文明施工保证措施方案具体、完整、可行，保障措施合理、先进、针对性强的，得8分； ②安全文明施工保证措施方案较为具体、完整、可行，保障证措施比较合理、具有基本的针对性的，得6分； ③安全文明施工保证措施方案基本符合要求、完整，保障措施基本合理的，得4分； ④安全文明施工保证措施方案有所欠缺，保证措施针对性一般，保证措施不够详细，有所欠缺的，得2分； ⑤安全文明施工方案和保证措施不合理或未提供的，得0分。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根据供应商提供的环境保护管理体系与措施（包含但不限于环境保护管理、噪声及扬尘防治、水污染防治、大气污染防治、固体废弃物污染防治等）进行评审： ①环境保护体系与措施安全得力、减少噪音，降低环境污染措施可行，全面且具有针对性的，得8分； ②环境体系与措施比较安全得力、减少噪音，降低环境污染措施比较可行，比较全面，有较强针对性，能够较好的满足项目要求的，得6分； ③环境保护体系与措施基本安全，降低环境污染措施基本可行，有一定的针对性的，得4分； ④环境保护体系与措施有所欠缺，降低环境污染措施有所欠缺的，得2分； ⑤环境保护体系与措施不合理，降低环境污染措施不可行，或未提供的，得0分。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根据供应商提供的资源配备计划（包含但不限于劳动力配备、投入设备配置、管理组织机构）进行评审： ①资源配备计划计划非常合理、可行，与施工进度计划呼应，完全满足本项目要求，劳动力、施工机械搭配非常合理、准确的，得8分； ②资源配备计划计划比较合理、可行，与施工进度计划呼应，能够满足本项目要求，劳动力、施工机械搭配比较合理、准确的，得6分； ③资源配备计划基本合理、可行，基本上能满足本项目要求，劳动力、施工机械搭配基本合理的，得4分； ④资源配备计划有所欠缺、可行，劳动力、施工机械搭配有所欠缺，得2分； ⑤资源配备计划计划与施工进度计划不能呼应或未提供的，得0分。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紧急情况的处理措施、预案以及抵抗风险措施</w:t>
            </w:r>
          </w:p>
        </w:tc>
        <w:tc>
          <w:tcPr>
            <w:tcW w:type="dxa" w:w="3115"/>
          </w:tcPr>
          <w:p>
            <w:pPr>
              <w:pStyle w:val="null5"/>
              <w:jc w:val="left"/>
            </w:pPr>
            <w:r>
              <w:rPr>
                <w:rFonts w:ascii="仿宋_GB2312" w:hAnsi="仿宋_GB2312" w:cs="仿宋_GB2312" w:eastAsia="仿宋_GB2312"/>
              </w:rPr>
              <w:t>根据紧急情况（包括发生大风、暴雨等灾害性天气及火灾等其他突发事件）的处理措施、预案以及抵抗风险措施进行打分： ①紧急情况的处理措施、预案以及抵抗风险措施非常合理、可行的，得6分； ②紧急情况的处理措施、预案以及抵抗风险措施比较合理、可行的，得3分； ③紧急情况的处理措施、预案以及抵抗风险措施基本合理、可行的，得1分； ④紧急情况的处理措施、预案以及抵抗风险措施不合理或未提供的，得0分。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工程业绩</w:t>
            </w:r>
          </w:p>
        </w:tc>
        <w:tc>
          <w:tcPr>
            <w:tcW w:type="dxa" w:w="3115"/>
          </w:tcPr>
          <w:p>
            <w:pPr>
              <w:pStyle w:val="null5"/>
              <w:jc w:val="left"/>
            </w:pPr>
            <w:r>
              <w:rPr>
                <w:rFonts w:ascii="仿宋_GB2312" w:hAnsi="仿宋_GB2312" w:cs="仿宋_GB2312" w:eastAsia="仿宋_GB2312"/>
              </w:rPr>
              <w:t>投标人2022年1月至今承担过同类项目施工业绩,每有一项得1分，最多得3分（提供中标通知书或建设工程施工合同原件扫描件，日期以合同签定日期为准）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技术负责人</w:t>
            </w:r>
          </w:p>
        </w:tc>
        <w:tc>
          <w:tcPr>
            <w:tcW w:type="dxa" w:w="3115"/>
          </w:tcPr>
          <w:p>
            <w:pPr>
              <w:pStyle w:val="null5"/>
              <w:jc w:val="left"/>
            </w:pPr>
            <w:r>
              <w:rPr>
                <w:rFonts w:ascii="仿宋_GB2312" w:hAnsi="仿宋_GB2312" w:cs="仿宋_GB2312" w:eastAsia="仿宋_GB2312"/>
              </w:rPr>
              <w:t>拟派技术负责人具有中级（建筑工程）及以上职称，得2分，不提供不得分。 注：技术负责人须提供职称证及2024年6月至今（任意一个月）缴纳社会保险的凭证。（以社会保险缴纳清单为准）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项目管理机构配备</w:t>
            </w:r>
          </w:p>
        </w:tc>
        <w:tc>
          <w:tcPr>
            <w:tcW w:type="dxa" w:w="3115"/>
          </w:tcPr>
          <w:p>
            <w:pPr>
              <w:pStyle w:val="null5"/>
              <w:jc w:val="left"/>
            </w:pPr>
            <w:r>
              <w:rPr>
                <w:rFonts w:ascii="仿宋_GB2312" w:hAnsi="仿宋_GB2312" w:cs="仿宋_GB2312" w:eastAsia="仿宋_GB2312"/>
              </w:rPr>
              <w:t>拟配项目管理班子人员结构合理、专业配备齐全最多得5分，每缺少一项（施工员、质量员、安全员、材料员、资料员）扣1分，扣完为止。 注：项目管理人员须提供人员有效证书及2024年6月至今任意一个月缴纳社会保险的凭证。（以社会保险缴纳清单为准）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32.00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