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市四幼玩具设备及游戏材料采购项目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询价通知书</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巴彦淖尔市第四幼儿园</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内蒙古智联项目管理有限责任公司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BSZCS-X-H-250009</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询价邀请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询价邀请</w:t>
      </w:r>
    </w:p>
    <w:p>
      <w:pPr>
        <w:pStyle w:val="null5"/>
        <w:ind w:firstLine="480"/>
        <w:jc w:val="left"/>
      </w:pPr>
      <w:r>
        <w:rPr>
          <w:rFonts w:ascii="仿宋_GB2312" w:hAnsi="仿宋_GB2312" w:cs="仿宋_GB2312" w:eastAsia="仿宋_GB2312"/>
        </w:rPr>
        <w:t>内蒙古智联项目管理有限责任公司</w:t>
      </w:r>
      <w:r>
        <w:rPr>
          <w:rFonts w:ascii="仿宋_GB2312" w:hAnsi="仿宋_GB2312" w:cs="仿宋_GB2312" w:eastAsia="仿宋_GB2312"/>
        </w:rPr>
        <w:t xml:space="preserve"> 受 </w:t>
      </w:r>
      <w:r>
        <w:rPr>
          <w:rFonts w:ascii="仿宋_GB2312" w:hAnsi="仿宋_GB2312" w:cs="仿宋_GB2312" w:eastAsia="仿宋_GB2312"/>
        </w:rPr>
        <w:t>巴彦淖尔市第四幼儿园</w:t>
      </w:r>
      <w:r>
        <w:rPr>
          <w:rFonts w:ascii="仿宋_GB2312" w:hAnsi="仿宋_GB2312" w:cs="仿宋_GB2312" w:eastAsia="仿宋_GB2312"/>
        </w:rPr>
        <w:t xml:space="preserve"> 委托，采用询价方式组织采购 </w:t>
      </w:r>
      <w:r>
        <w:rPr>
          <w:rFonts w:ascii="仿宋_GB2312" w:hAnsi="仿宋_GB2312" w:cs="仿宋_GB2312" w:eastAsia="仿宋_GB2312"/>
        </w:rPr>
        <w:t>市四幼玩具设备及游戏材料采购项目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市四幼玩具设备及游戏材料采购项目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BSZCS-X-H-250009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巴政采计划[2025]00212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443,595.00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合同包1</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443,595.00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409,274.00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合同包2</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409,274.00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1,248,222.00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合同包3</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1,248,222.00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三.获取询价通知书的时间、地点、方式</w:t>
      </w:r>
    </w:p>
    <w:p>
      <w:pPr>
        <w:pStyle w:val="null5"/>
        <w:ind w:firstLine="480"/>
        <w:jc w:val="left"/>
      </w:pPr>
      <w:r>
        <w:rPr>
          <w:rFonts w:ascii="仿宋_GB2312" w:hAnsi="仿宋_GB2312" w:cs="仿宋_GB2312" w:eastAsia="仿宋_GB2312"/>
        </w:rPr>
        <w:t>详见询价公告；</w:t>
      </w:r>
    </w:p>
    <w:p>
      <w:pPr>
        <w:pStyle w:val="null5"/>
        <w:ind w:firstLine="480"/>
        <w:jc w:val="left"/>
      </w:pPr>
      <w:r>
        <w:rPr>
          <w:rFonts w:ascii="仿宋_GB2312" w:hAnsi="仿宋_GB2312" w:cs="仿宋_GB2312" w:eastAsia="仿宋_GB2312"/>
        </w:rPr>
        <w:t>供应商获取采购文件（询价通知书）后，如有质疑或者其他疑问请及时通过电话联系。如寄出质疑函后必须电话通知采购人或采购代理机构。</w:t>
      </w:r>
    </w:p>
    <w:p>
      <w:pPr>
        <w:pStyle w:val="null5"/>
        <w:jc w:val="left"/>
        <w:outlineLvl w:val="2"/>
      </w:pPr>
      <w:r>
        <w:rPr>
          <w:rFonts w:ascii="仿宋_GB2312" w:hAnsi="仿宋_GB2312" w:cs="仿宋_GB2312" w:eastAsia="仿宋_GB2312"/>
          <w:sz w:val="28"/>
          <w:b/>
        </w:rPr>
        <w:t>四.询价通知书售价</w:t>
      </w:r>
    </w:p>
    <w:p>
      <w:pPr>
        <w:pStyle w:val="null5"/>
        <w:ind w:firstLine="480"/>
        <w:jc w:val="left"/>
      </w:pPr>
      <w:r>
        <w:rPr>
          <w:rFonts w:ascii="仿宋_GB2312" w:hAnsi="仿宋_GB2312" w:cs="仿宋_GB2312" w:eastAsia="仿宋_GB2312"/>
        </w:rPr>
        <w:t>本次询价通知书的售价为0元人民币。</w:t>
      </w:r>
    </w:p>
    <w:p>
      <w:pPr>
        <w:pStyle w:val="null5"/>
        <w:jc w:val="left"/>
        <w:outlineLvl w:val="2"/>
      </w:pPr>
      <w:r>
        <w:rPr>
          <w:rFonts w:ascii="仿宋_GB2312" w:hAnsi="仿宋_GB2312" w:cs="仿宋_GB2312" w:eastAsia="仿宋_GB2312"/>
          <w:sz w:val="28"/>
          <w:b/>
        </w:rPr>
        <w:t>五.响应文件提交的截止时间、开启时间及地点</w:t>
      </w:r>
    </w:p>
    <w:p>
      <w:pPr>
        <w:pStyle w:val="null5"/>
        <w:ind w:firstLine="480"/>
        <w:jc w:val="left"/>
      </w:pPr>
      <w:r>
        <w:rPr>
          <w:rFonts w:ascii="仿宋_GB2312" w:hAnsi="仿宋_GB2312" w:cs="仿宋_GB2312" w:eastAsia="仿宋_GB2312"/>
        </w:rPr>
        <w:t>详见询价公告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内蒙古智联项目管理有限责任公司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内蒙古自治区巴彦淖尔市临河区金秋华城D区东门外办公楼3楼306室（智联项目管理公司）</w:t>
      </w:r>
    </w:p>
    <w:p>
      <w:pPr>
        <w:pStyle w:val="null5"/>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王琼</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15648872162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巴彦淖尔市第四幼儿园</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内蒙古自治区巴彦淖尔市临河区巴彦淖尔市第四幼儿园</w:t>
      </w:r>
    </w:p>
    <w:p>
      <w:pPr>
        <w:pStyle w:val="null5"/>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19904780958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ind w:firstLine="480"/>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0"/>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0"/>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0"/>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3</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0"/>
          </w:tcPr>
          <w:p>
            <w:pPr>
              <w:pStyle w:val="null5"/>
              <w:jc w:val="left"/>
            </w:pPr>
            <w:r>
              <w:rPr>
                <w:rFonts w:ascii="仿宋_GB2312" w:hAnsi="仿宋_GB2312" w:cs="仿宋_GB2312" w:eastAsia="仿宋_GB2312"/>
              </w:rPr>
              <w:t>询价</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评标方式</w:t>
            </w:r>
          </w:p>
        </w:tc>
        <w:tc>
          <w:tcPr>
            <w:tcW w:type="dxa" w:w="0"/>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开启方式</w:t>
            </w:r>
          </w:p>
        </w:tc>
        <w:tc>
          <w:tcPr>
            <w:tcW w:type="dxa" w:w="0"/>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评标方法</w:t>
            </w:r>
          </w:p>
        </w:tc>
        <w:tc>
          <w:tcPr>
            <w:tcW w:type="dxa" w:w="0"/>
          </w:tcPr>
          <w:p>
            <w:pPr>
              <w:pStyle w:val="null5"/>
              <w:jc w:val="left"/>
            </w:pPr>
            <w:r>
              <w:rPr>
                <w:rFonts w:ascii="仿宋_GB2312" w:hAnsi="仿宋_GB2312" w:cs="仿宋_GB2312" w:eastAsia="仿宋_GB2312"/>
              </w:rPr>
              <w:t>采购包1：最低评标价法</w:t>
            </w:r>
          </w:p>
          <w:p>
            <w:pPr>
              <w:pStyle w:val="null5"/>
              <w:jc w:val="left"/>
            </w:pPr>
            <w:r>
              <w:rPr>
                <w:rFonts w:ascii="仿宋_GB2312" w:hAnsi="仿宋_GB2312" w:cs="仿宋_GB2312" w:eastAsia="仿宋_GB2312"/>
              </w:rPr>
              <w:t>采购包2：最低评标价法</w:t>
            </w:r>
          </w:p>
          <w:p>
            <w:pPr>
              <w:pStyle w:val="null5"/>
              <w:jc w:val="left"/>
            </w:pPr>
            <w:r>
              <w:rPr>
                <w:rFonts w:ascii="仿宋_GB2312" w:hAnsi="仿宋_GB2312" w:cs="仿宋_GB2312" w:eastAsia="仿宋_GB2312"/>
              </w:rPr>
              <w:t>采购包3：最低评标价法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获取询价通知书时间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0"/>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0"/>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中标人确定</w:t>
            </w:r>
          </w:p>
        </w:tc>
        <w:tc>
          <w:tcPr>
            <w:tcW w:type="dxa" w:w="0"/>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0"/>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0"/>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代理服务费收费标准：中标价的1.5%，不足1万按1万元收取。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兼投不兼中规则</w:t>
            </w:r>
          </w:p>
        </w:tc>
        <w:tc>
          <w:tcPr>
            <w:tcW w:type="dxa" w:w="0"/>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投标保证金</w:t>
            </w:r>
          </w:p>
        </w:tc>
        <w:tc>
          <w:tcPr>
            <w:tcW w:type="dxa" w:w="0"/>
          </w:tcPr>
          <w:p>
            <w:pPr>
              <w:pStyle w:val="null5"/>
              <w:jc w:val="left"/>
            </w:pPr>
            <w:r>
              <w:rPr>
                <w:rFonts w:ascii="仿宋_GB2312" w:hAnsi="仿宋_GB2312" w:cs="仿宋_GB2312" w:eastAsia="仿宋_GB2312"/>
              </w:rPr>
              <w:t>采购包1保证金金额：5,000.00元</w:t>
            </w:r>
          </w:p>
          <w:p>
            <w:pPr>
              <w:pStyle w:val="null5"/>
              <w:jc w:val="left"/>
            </w:pPr>
            <w:r>
              <w:rPr>
                <w:rFonts w:ascii="仿宋_GB2312" w:hAnsi="仿宋_GB2312" w:cs="仿宋_GB2312" w:eastAsia="仿宋_GB2312"/>
              </w:rPr>
              <w:t>采购包2保证金金额：5,000.00元</w:t>
            </w:r>
          </w:p>
          <w:p>
            <w:pPr>
              <w:pStyle w:val="null5"/>
              <w:jc w:val="left"/>
            </w:pPr>
            <w:r>
              <w:rPr>
                <w:rFonts w:ascii="仿宋_GB2312" w:hAnsi="仿宋_GB2312" w:cs="仿宋_GB2312" w:eastAsia="仿宋_GB2312"/>
              </w:rPr>
              <w:t>采购包3保证金金额：15,000.00元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电子投标文件</w:t>
            </w:r>
          </w:p>
        </w:tc>
        <w:tc>
          <w:tcPr>
            <w:tcW w:type="dxa" w:w="0"/>
          </w:tcPr>
          <w:p>
            <w:pPr>
              <w:pStyle w:val="null5"/>
              <w:jc w:val="left"/>
            </w:pPr>
            <w:r>
              <w:rPr>
                <w:rFonts w:ascii="仿宋_GB2312" w:hAnsi="仿宋_GB2312" w:cs="仿宋_GB2312" w:eastAsia="仿宋_GB2312"/>
              </w:rPr>
              <w:t>应按照第七章“投标文件格式与要求”，使用单位电子签章（CA）进行签字、加盖公章。</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签字、盖章要求</w:t>
            </w:r>
          </w:p>
        </w:tc>
        <w:tc>
          <w:tcPr>
            <w:tcW w:type="dxa" w:w="0"/>
          </w:tcPr>
          <w:p>
            <w:pPr>
              <w:pStyle w:val="null5"/>
              <w:jc w:val="left"/>
            </w:pPr>
            <w:r>
              <w:rPr>
                <w:rFonts w:ascii="仿宋_GB2312" w:hAnsi="仿宋_GB2312" w:cs="仿宋_GB2312" w:eastAsia="仿宋_GB2312"/>
              </w:rPr>
              <w:t>说明：若涉及到授权代表签字的可将文件签字页先进行签字、扫描后导入加密电子投标文件。</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投标客户端</w:t>
            </w:r>
          </w:p>
        </w:tc>
        <w:tc>
          <w:tcPr>
            <w:tcW w:type="dxa" w:w="0"/>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面向中小企业采购</w:t>
            </w:r>
          </w:p>
        </w:tc>
        <w:tc>
          <w:tcPr>
            <w:tcW w:type="dxa" w:w="0"/>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有效投标人家数</w:t>
            </w:r>
          </w:p>
        </w:tc>
        <w:tc>
          <w:tcPr>
            <w:tcW w:type="dxa" w:w="0"/>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中标供应商数量</w:t>
            </w:r>
          </w:p>
        </w:tc>
        <w:tc>
          <w:tcPr>
            <w:tcW w:type="dxa" w:w="0"/>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中标候选供应商数量</w:t>
            </w:r>
          </w:p>
        </w:tc>
        <w:tc>
          <w:tcPr>
            <w:tcW w:type="dxa" w:w="0"/>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现场踏勘</w:t>
            </w:r>
          </w:p>
        </w:tc>
        <w:tc>
          <w:tcPr>
            <w:tcW w:type="dxa" w:w="0"/>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tc>
      </w:tr>
      <w:tr>
        <w:tc>
          <w:tcPr>
            <w:tcW w:type="dxa" w:w="1311"/>
          </w:tcPr>
          <w:p>
            <w:pPr>
              <w:pStyle w:val="null5"/>
              <w:jc w:val="left"/>
            </w:pPr>
            <w:r>
              <w:rPr>
                <w:rFonts w:ascii="仿宋_GB2312" w:hAnsi="仿宋_GB2312" w:cs="仿宋_GB2312" w:eastAsia="仿宋_GB2312"/>
              </w:rPr>
              <w:t>23</w:t>
            </w:r>
          </w:p>
        </w:tc>
        <w:tc>
          <w:tcPr>
            <w:tcW w:type="dxa" w:w="2623"/>
          </w:tcPr>
          <w:p>
            <w:pPr>
              <w:pStyle w:val="null5"/>
              <w:jc w:val="left"/>
            </w:pPr>
            <w:r>
              <w:rPr>
                <w:rFonts w:ascii="仿宋_GB2312" w:hAnsi="仿宋_GB2312" w:cs="仿宋_GB2312" w:eastAsia="仿宋_GB2312"/>
              </w:rPr>
              <w:t>报价形式</w:t>
            </w:r>
          </w:p>
        </w:tc>
        <w:tc>
          <w:tcPr>
            <w:tcW w:type="dxa" w:w="0"/>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tc>
      </w:tr>
      <w:tr>
        <w:tc>
          <w:tcPr>
            <w:tcW w:type="dxa" w:w="1311"/>
          </w:tcPr>
          <w:p>
            <w:pPr>
              <w:pStyle w:val="null5"/>
              <w:jc w:val="left"/>
            </w:pPr>
            <w:r>
              <w:rPr>
                <w:rFonts w:ascii="仿宋_GB2312" w:hAnsi="仿宋_GB2312" w:cs="仿宋_GB2312" w:eastAsia="仿宋_GB2312"/>
              </w:rPr>
              <w:t>24</w:t>
            </w:r>
          </w:p>
        </w:tc>
        <w:tc>
          <w:tcPr>
            <w:tcW w:type="dxa" w:w="2623"/>
          </w:tcPr>
          <w:p>
            <w:pPr>
              <w:pStyle w:val="null5"/>
              <w:jc w:val="left"/>
            </w:pPr>
            <w:r>
              <w:rPr>
                <w:rFonts w:ascii="仿宋_GB2312" w:hAnsi="仿宋_GB2312" w:cs="仿宋_GB2312" w:eastAsia="仿宋_GB2312"/>
              </w:rPr>
              <w:t>其他</w:t>
            </w:r>
          </w:p>
        </w:tc>
        <w:tc>
          <w:tcPr>
            <w:tcW w:type="dxa" w:w="0"/>
          </w:tcPr>
          <w:p>
            <w:pPr>
              <w:pStyle w:val="null5"/>
              <w:jc w:val="left"/>
            </w:pPr>
            <w:r>
              <w:rPr>
                <w:rFonts w:ascii="仿宋_GB2312" w:hAnsi="仿宋_GB2312" w:cs="仿宋_GB2312" w:eastAsia="仿宋_GB2312"/>
              </w:rPr>
              <w:t>各供应商参与投标（响应）时，除需填写开标一览表外，必须填写附件中对应的合同包分项报价（并完善对应的品牌、型号等信息），并将完善的分项报价附于投标（响应）文件中。</w:t>
            </w:r>
          </w:p>
        </w:tc>
      </w:tr>
    </w:tbl>
    <w:p>
      <w:pPr>
        <w:pStyle w:val="null5"/>
        <w:jc w:val="left"/>
        <w:outlineLvl w:val="2"/>
      </w:pPr>
      <w:r>
        <w:rPr>
          <w:rFonts w:ascii="仿宋_GB2312" w:hAnsi="仿宋_GB2312" w:cs="仿宋_GB2312" w:eastAsia="仿宋_GB2312"/>
          <w:sz w:val="28"/>
          <w:b/>
        </w:rPr>
        <w:t>二.询价须知</w:t>
      </w:r>
    </w:p>
    <w:p>
      <w:pPr>
        <w:pStyle w:val="null5"/>
        <w:ind w:firstLine="480"/>
        <w:jc w:val="left"/>
      </w:pPr>
      <w:r>
        <w:rPr>
          <w:rFonts w:ascii="仿宋_GB2312" w:hAnsi="仿宋_GB2312" w:cs="仿宋_GB2312" w:eastAsia="仿宋_GB2312"/>
        </w:rPr>
        <w:t>1.询价采取网上响应方式，操作流程如下：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询价通知书，并按照询价通知书的要求制作、上传电子响应文件。</w:t>
      </w:r>
    </w:p>
    <w:p>
      <w:pPr>
        <w:pStyle w:val="null5"/>
        <w:ind w:firstLine="480"/>
        <w:jc w:val="left"/>
      </w:pPr>
      <w:r>
        <w:rPr>
          <w:rFonts w:ascii="仿宋_GB2312" w:hAnsi="仿宋_GB2312" w:cs="仿宋_GB2312" w:eastAsia="仿宋_GB2312"/>
        </w:rPr>
        <w:t>2.保证金</w:t>
      </w:r>
    </w:p>
    <w:p>
      <w:pPr>
        <w:pStyle w:val="null5"/>
        <w:ind w:firstLine="480"/>
        <w:jc w:val="left"/>
      </w:pPr>
      <w:r>
        <w:rPr>
          <w:rFonts w:ascii="仿宋_GB2312" w:hAnsi="仿宋_GB2312" w:cs="仿宋_GB2312" w:eastAsia="仿宋_GB2312"/>
        </w:rPr>
        <w:t>2.1保证金缴纳（如需缴纳保证金）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保证金足额汇入以上账户，并自行承担因汇错保证金而产生的一切后果。供应商在转账或电汇的凭证上应按照“项目编号：***、采购包：***的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2.1.3供应商选择以支票、汇票、本票、保函等非现金形式缴纳保证金的，供应商将相关证明材料原件扫描添加至响应文件中，同时在开启时提供证明材料。</w:t>
      </w:r>
    </w:p>
    <w:p>
      <w:pPr>
        <w:pStyle w:val="null5"/>
        <w:ind w:firstLine="480"/>
        <w:jc w:val="left"/>
      </w:pPr>
      <w:r>
        <w:rPr>
          <w:rFonts w:ascii="仿宋_GB2312" w:hAnsi="仿宋_GB2312" w:cs="仿宋_GB2312" w:eastAsia="仿宋_GB2312"/>
        </w:rPr>
        <w:t>2.1.4缴纳保证金时间以保证金到账时间为准，由于保证金到账需要一定时间，请供应商在响应文件开启时间前及早缴纳。</w:t>
      </w:r>
    </w:p>
    <w:p>
      <w:pPr>
        <w:pStyle w:val="null5"/>
        <w:ind w:firstLine="480"/>
        <w:jc w:val="left"/>
      </w:pPr>
      <w:r>
        <w:rPr>
          <w:rFonts w:ascii="仿宋_GB2312" w:hAnsi="仿宋_GB2312" w:cs="仿宋_GB2312" w:eastAsia="仿宋_GB2312"/>
        </w:rPr>
        <w:t>2.2保证金的退还</w:t>
      </w:r>
    </w:p>
    <w:p>
      <w:pPr>
        <w:pStyle w:val="null5"/>
        <w:ind w:firstLine="480"/>
        <w:jc w:val="left"/>
      </w:pPr>
      <w:r>
        <w:rPr>
          <w:rFonts w:ascii="仿宋_GB2312" w:hAnsi="仿宋_GB2312" w:cs="仿宋_GB2312" w:eastAsia="仿宋_GB2312"/>
        </w:rPr>
        <w:t>2.2.1未成交供应商的保证金应当在成交通知书发出后5个工作日内退还，成交供应商的保证金应当在采购合同签订后5个工作日内退还。因供应商自身原因导致无法及时退还的除外。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2.2.2有下列情形之一的，保证金将不予退还：</w:t>
      </w:r>
    </w:p>
    <w:p>
      <w:pPr>
        <w:pStyle w:val="null5"/>
        <w:ind w:firstLine="480"/>
        <w:jc w:val="both"/>
      </w:pPr>
      <w:r>
        <w:rPr>
          <w:rFonts w:ascii="仿宋_GB2312" w:hAnsi="仿宋_GB2312" w:cs="仿宋_GB2312" w:eastAsia="仿宋_GB2312"/>
        </w:rPr>
        <w:t>（1）供应商在提交响应文件截止时间后撤回响应文件的；</w:t>
      </w:r>
    </w:p>
    <w:p>
      <w:pPr>
        <w:pStyle w:val="null5"/>
        <w:ind w:firstLine="480"/>
        <w:jc w:val="both"/>
      </w:pPr>
      <w:r>
        <w:rPr>
          <w:rFonts w:ascii="仿宋_GB2312" w:hAnsi="仿宋_GB2312" w:cs="仿宋_GB2312" w:eastAsia="仿宋_GB2312"/>
        </w:rPr>
        <w:t>（2）供应商在响应文件中提供虚假材料的；</w:t>
      </w:r>
    </w:p>
    <w:p>
      <w:pPr>
        <w:pStyle w:val="null5"/>
        <w:ind w:firstLine="480"/>
        <w:jc w:val="both"/>
      </w:pPr>
      <w:r>
        <w:rPr>
          <w:rFonts w:ascii="仿宋_GB2312" w:hAnsi="仿宋_GB2312" w:cs="仿宋_GB2312" w:eastAsia="仿宋_GB2312"/>
        </w:rPr>
        <w:t>（3）除因不可抗力或询价通知书认可的情形以外，成交供应商不与采购人签订合同的；</w:t>
      </w:r>
    </w:p>
    <w:p>
      <w:pPr>
        <w:pStyle w:val="null5"/>
        <w:ind w:firstLine="480"/>
        <w:jc w:val="both"/>
      </w:pPr>
      <w:r>
        <w:rPr>
          <w:rFonts w:ascii="仿宋_GB2312" w:hAnsi="仿宋_GB2312" w:cs="仿宋_GB2312" w:eastAsia="仿宋_GB2312"/>
        </w:rPr>
        <w:t>（4）供应商与采购人、其他供应商或者采购代理机构恶意串通的；</w:t>
      </w:r>
    </w:p>
    <w:p>
      <w:pPr>
        <w:pStyle w:val="null5"/>
        <w:ind w:firstLine="480"/>
        <w:jc w:val="both"/>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both"/>
      </w:pPr>
      <w:r>
        <w:rPr>
          <w:rFonts w:ascii="仿宋_GB2312" w:hAnsi="仿宋_GB2312" w:cs="仿宋_GB2312" w:eastAsia="仿宋_GB2312"/>
        </w:rPr>
        <w:t>各供应商应当在内蒙古自治区政府采购云平台开展与本项目有关的政府采购活动。</w:t>
      </w:r>
    </w:p>
    <w:p>
      <w:pPr>
        <w:pStyle w:val="null5"/>
        <w:ind w:firstLine="480"/>
        <w:jc w:val="both"/>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both"/>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both"/>
      </w:pPr>
      <w:r>
        <w:rPr>
          <w:rFonts w:ascii="仿宋_GB2312" w:hAnsi="仿宋_GB2312" w:cs="仿宋_GB2312" w:eastAsia="仿宋_GB2312"/>
        </w:rPr>
        <w:t>3.1远程不见面方式（供应商无需到现场）</w:t>
      </w:r>
    </w:p>
    <w:p>
      <w:pPr>
        <w:pStyle w:val="null5"/>
        <w:ind w:firstLine="480"/>
        <w:jc w:val="both"/>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both"/>
      </w:pPr>
      <w:r>
        <w:rPr>
          <w:rFonts w:ascii="仿宋_GB2312" w:hAnsi="仿宋_GB2312" w:cs="仿宋_GB2312" w:eastAsia="仿宋_GB2312"/>
        </w:rPr>
        <w:t>供应商的法定代表人或其授权代表应当按照本项目询价公告载明的时间等要求参加询价，在响应文件开启时间前30分钟，应当提前登录电子交易系统确认联系人姓名与联系电话。</w:t>
      </w:r>
    </w:p>
    <w:p>
      <w:pPr>
        <w:pStyle w:val="null5"/>
        <w:ind w:firstLine="480"/>
        <w:jc w:val="both"/>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（1）供应商未在规定时间内完成电子响应文件在线解密的；</w:t>
      </w:r>
    </w:p>
    <w:p>
      <w:pPr>
        <w:pStyle w:val="null5"/>
        <w:ind w:firstLine="480"/>
        <w:jc w:val="both"/>
      </w:pPr>
      <w:r>
        <w:rPr>
          <w:rFonts w:ascii="仿宋_GB2312" w:hAnsi="仿宋_GB2312" w:cs="仿宋_GB2312" w:eastAsia="仿宋_GB2312"/>
        </w:rPr>
        <w:t>（2）CA证书无法解密响应文件的；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both"/>
      </w:pPr>
      <w:r>
        <w:rPr>
          <w:rFonts w:ascii="仿宋_GB2312" w:hAnsi="仿宋_GB2312" w:cs="仿宋_GB2312" w:eastAsia="仿宋_GB2312"/>
        </w:rPr>
        <w:t>3.2现场网上方式（供应商需到现场）</w:t>
      </w:r>
    </w:p>
    <w:p>
      <w:pPr>
        <w:pStyle w:val="null5"/>
        <w:ind w:firstLine="480"/>
        <w:jc w:val="both"/>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both"/>
      </w:pPr>
      <w:r>
        <w:rPr>
          <w:rFonts w:ascii="仿宋_GB2312" w:hAnsi="仿宋_GB2312" w:cs="仿宋_GB2312" w:eastAsia="仿宋_GB2312"/>
        </w:rPr>
        <w:t>供应商的法定代表人或其授权代表应当按照本项目询价公告载明的时间和地点参加询价。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（1）CA证书无法解密响应文件的；</w:t>
      </w:r>
    </w:p>
    <w:p>
      <w:pPr>
        <w:pStyle w:val="null5"/>
        <w:ind w:firstLine="480"/>
        <w:jc w:val="both"/>
      </w:pPr>
      <w:r>
        <w:rPr>
          <w:rFonts w:ascii="仿宋_GB2312" w:hAnsi="仿宋_GB2312" w:cs="仿宋_GB2312" w:eastAsia="仿宋_GB2312"/>
        </w:rPr>
        <w:t>（2）供应商未按询价通知书要求提供“备用标书”的；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本询价通知书依据《中华人民共和国政府采购法》《中华人民共和国政府采购法实施条例》和《政府采购非招标采购方式管理办法》（财政部令第74号）及国家和自治区有关法律、法规、规章制度编制。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供应商应仔细阅读本项目信息公告及询价通知书的所有内容（包括澄清或者修改），按照询价通知书要求以及格式编制响应文件，并保证其真实性，否则一切后果自负。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本询价通知书仅适用于本次询价公告中所涉及的项目和内容。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供应商应承担所有与准备和参加询价有关的费用。不论询价结果如何，采购人或采购代理机构均无义务和责任承担相关费用。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4.1“采购人”是指依法进行政府采购的国家机关、事业单位、团体组织。本询价通知书的采购人特指 </w:t>
      </w:r>
      <w:r>
        <w:rPr>
          <w:rFonts w:ascii="仿宋_GB2312" w:hAnsi="仿宋_GB2312" w:cs="仿宋_GB2312" w:eastAsia="仿宋_GB2312"/>
        </w:rPr>
        <w:t>巴彦淖尔市第四幼儿园</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4.2“采购代理机构”是指集中采购机构和集中采购机构以外的采购代理机构。本询价通知书的采购代理机构特指 </w:t>
      </w:r>
      <w:r>
        <w:rPr>
          <w:rFonts w:ascii="仿宋_GB2312" w:hAnsi="仿宋_GB2312" w:cs="仿宋_GB2312" w:eastAsia="仿宋_GB2312"/>
        </w:rPr>
        <w:t>内蒙古智联项目管理有限责任公司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4.4“询价小组”由采购人代表和评审专家组成。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5.1符合本询价通知书规定的资格要求，并按照要求提供相关证明材料。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四.询价通知书的澄清或者修改</w:t>
      </w:r>
    </w:p>
    <w:p>
      <w:pPr>
        <w:pStyle w:val="null5"/>
        <w:ind w:firstLine="480"/>
        <w:jc w:val="left"/>
      </w:pPr>
      <w:r>
        <w:rPr>
          <w:rFonts w:ascii="仿宋_GB2312" w:hAnsi="仿宋_GB2312" w:cs="仿宋_GB2312" w:eastAsia="仿宋_GB2312"/>
        </w:rPr>
        <w:t>提交响应文件截止之日前，采购人、采购代理机构或者询价小组可以对已发出的询价通知书进行必要的澄清或者修改，澄清或者修改的内容作为询价通知书的组成部分。澄清或者修改的内容可能影响响应文件编制的，采购人、采购代理机构或者询价小组应当在提交响应文件截止之日3个工作日前，在“内蒙古自治区政府采购网”上发布更正公告进行通知，不足3个工作日的，应当顺延提交响应文件截止之日。更正公告的内容为询价通知书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响应文件应按照询价通知书第七章“响应文件格式与要求”进行编写，可以增加附页，并作为响应文件的组成部分。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2.1供应商应按照第三章“采购内容与技术要求”进行报价。报价中不得包含询价通知书要求以外的内容，否则，在评审时不予核减。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2.4参加询价采购活动的供应商，应当按照询价通知书的规定一次报出不得更改的价格。</w:t>
      </w:r>
    </w:p>
    <w:p>
      <w:pPr>
        <w:pStyle w:val="null5"/>
        <w:ind w:firstLine="480"/>
        <w:jc w:val="left"/>
      </w:pPr>
      <w:r>
        <w:rPr>
          <w:rFonts w:ascii="仿宋_GB2312" w:hAnsi="仿宋_GB2312" w:cs="仿宋_GB2312" w:eastAsia="仿宋_GB2312"/>
        </w:rPr>
        <w:t>2.5供应商应在“投标客户端”对【报价部分】进行填写，“投标客户端”将自动根据供应商填写信息在线生成“报价一览表”、“分项报价表”，若在响应文件中出现非系统生成的“报价一览表”、“分项报价表”，且与“投标客户端”生成的“报价一览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5.1询价通知书规定供应商提交样品的，样品属于响应文件的组成部分。样品的生产、运输、安装、保全等一切费用由供应商自理。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5.3采购活动结束后，对于未成交供应商提供的样品，应当及时退还或者经未成交供应商同意后自行处理；对于成交供应商提供的样品，应当按照询价通知书的规定进行保管、封存，并作为履约验收的参考。</w:t>
      </w:r>
    </w:p>
    <w:p>
      <w:pPr>
        <w:pStyle w:val="null5"/>
        <w:jc w:val="left"/>
        <w:outlineLvl w:val="2"/>
      </w:pPr>
      <w:r>
        <w:rPr>
          <w:rFonts w:ascii="仿宋_GB2312" w:hAnsi="仿宋_GB2312" w:cs="仿宋_GB2312" w:eastAsia="仿宋_GB2312"/>
          <w:sz w:val="28"/>
          <w:b/>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（3）供应商对已提交的加密文件进行解密，由采购人或者采购代理机构工作人员宣布供应商名称和询价通知书规定需要宣布的其他内容；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注：应附（2023年度或2024年度）经审计的财务会计报表（包括资产负债表、现金流量表、利润表和财务报表附注）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注：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注：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审查供应商提供的具有履行合同所必需的设备和专业技术能力的证明材料。【注：出具的“具有履行合同所必须的设备和专业技术能力”承诺书。】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注：应附（2023年度或2024年度）经审计的财务会计报表（包括资产负债表、现金流量表、利润表和财务报表附注）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注：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注：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审查供应商提供的具有履行合同所必需的设备和专业技术能力的证明材料。【注：出具的“具有履行合同所必须的设备和专业技术能力”承诺书。】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注：应附（2023年度或2024年度）经审计的财务会计报表（包括资产负债表、现金流量表、利润表和财务报表附注）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注：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注：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审查供应商提供的具有履行合同所必需的设备和专业技术能力的证明材料。【注：出具的“具有履行合同所必须的设备和专业技术能力”承诺书。】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询价邀请）。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ind w:firstLine="480"/>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ind w:firstLine="480"/>
        <w:jc w:val="left"/>
      </w:pPr>
      <w:r>
        <w:rPr>
          <w:rFonts w:ascii="仿宋_GB2312" w:hAnsi="仿宋_GB2312" w:cs="仿宋_GB2312" w:eastAsia="仿宋_GB2312"/>
        </w:rPr>
        <w:t>采购一批幼儿教学仪器。</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合同签订后，5个工作日内安装、调试。</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巴彦淖尔市第四幼儿园</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1、货物进场时，达到付款条件起30日，支付合同总金额的20.00%</w:t>
            </w:r>
          </w:p>
          <w:p>
            <w:pPr>
              <w:pStyle w:val="null5"/>
              <w:jc w:val="left"/>
            </w:pPr>
            <w:r>
              <w:rPr>
                <w:rFonts w:ascii="仿宋_GB2312" w:hAnsi="仿宋_GB2312" w:cs="仿宋_GB2312" w:eastAsia="仿宋_GB2312"/>
              </w:rPr>
              <w:t>2、货物全部进场后，达到付款条件起30日，支付合同总金额的30.00%</w:t>
            </w:r>
          </w:p>
          <w:p>
            <w:pPr>
              <w:pStyle w:val="null5"/>
              <w:jc w:val="left"/>
            </w:pPr>
            <w:r>
              <w:rPr>
                <w:rFonts w:ascii="仿宋_GB2312" w:hAnsi="仿宋_GB2312" w:cs="仿宋_GB2312" w:eastAsia="仿宋_GB2312"/>
              </w:rPr>
              <w:t>3、合同货物在安装、调试完成后，采购人按照采购合同规定的技术、服务、安全标准，对供应商的履约情况进行验收。同时需完成人员培训，达到付款条件起30日，支付合同总金额的45.00%</w:t>
            </w:r>
          </w:p>
          <w:p>
            <w:pPr>
              <w:pStyle w:val="null5"/>
              <w:jc w:val="left"/>
            </w:pPr>
            <w:r>
              <w:rPr>
                <w:rFonts w:ascii="仿宋_GB2312" w:hAnsi="仿宋_GB2312" w:cs="仿宋_GB2312" w:eastAsia="仿宋_GB2312"/>
              </w:rPr>
              <w:t>4、平稳运行2年后，支付剩余费用，达到付款条件起30日，支付合同总金额的5.00%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缴纳比例：10</w:t>
            </w:r>
          </w:p>
          <w:p>
            <w:pPr>
              <w:pStyle w:val="null5"/>
              <w:jc w:val="left"/>
            </w:pPr>
            <w:r>
              <w:rPr>
                <w:rFonts w:ascii="仿宋_GB2312" w:hAnsi="仿宋_GB2312" w:cs="仿宋_GB2312" w:eastAsia="仿宋_GB2312"/>
              </w:rPr>
              <w:t>缴纳说明：打到甲方指定账户，若乙方提供产品规格与甲方需求不符，则甲方有权不退还保证金。</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所有货物必须是全新未拆封的正品，拒绝拆改新、二手产品，以上货物都应能提供线上或线下，产品如何安全使用的培训服务，一年内不少于两次培训。</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本项目设置最高投标限价，不得超出预算。</w:t>
            </w:r>
          </w:p>
        </w:tc>
      </w:tr>
      <w:tr>
        <w:tc>
          <w:tcPr>
            <w:tcW w:type="dxa" w:w="2076"/>
          </w:tcPr>
          <w:p>
            <w:pPr>
              <w:pStyle w:val="null5"/>
              <w:jc w:val="left"/>
            </w:pPr>
            <w:r>
              <w:rPr>
                <w:rFonts w:ascii="仿宋_GB2312" w:hAnsi="仿宋_GB2312" w:cs="仿宋_GB2312" w:eastAsia="仿宋_GB2312"/>
              </w:rPr>
              <w:t>7</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质保期：3年，投标（响应）供应商亦可填报更长的质保期。</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合同签订后，5个工作日内安装、调试。</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巴彦淖尔市第四幼儿园</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1、货物进场时，达到付款条件起30日，支付合同总金额的20.00%</w:t>
            </w:r>
          </w:p>
          <w:p>
            <w:pPr>
              <w:pStyle w:val="null5"/>
              <w:jc w:val="left"/>
            </w:pPr>
            <w:r>
              <w:rPr>
                <w:rFonts w:ascii="仿宋_GB2312" w:hAnsi="仿宋_GB2312" w:cs="仿宋_GB2312" w:eastAsia="仿宋_GB2312"/>
              </w:rPr>
              <w:t>2、货物全部进场后，达到付款条件起30日，支付合同总金额的30.00%</w:t>
            </w:r>
          </w:p>
          <w:p>
            <w:pPr>
              <w:pStyle w:val="null5"/>
              <w:jc w:val="left"/>
            </w:pPr>
            <w:r>
              <w:rPr>
                <w:rFonts w:ascii="仿宋_GB2312" w:hAnsi="仿宋_GB2312" w:cs="仿宋_GB2312" w:eastAsia="仿宋_GB2312"/>
              </w:rPr>
              <w:t>3、合同货物在安装、调试完成后，采购人按照采购合同规定的技术、服务、安全标准，对供应商的履约情况进行验收。同时需完成人员培训，达到付款条件起30日，支付合同总金额的45.00%</w:t>
            </w:r>
          </w:p>
          <w:p>
            <w:pPr>
              <w:pStyle w:val="null5"/>
              <w:jc w:val="left"/>
            </w:pPr>
            <w:r>
              <w:rPr>
                <w:rFonts w:ascii="仿宋_GB2312" w:hAnsi="仿宋_GB2312" w:cs="仿宋_GB2312" w:eastAsia="仿宋_GB2312"/>
              </w:rPr>
              <w:t>4、平稳运行2年后，支付剩余费用，达到付款条件起30日，支付合同总金额的5.00%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缴纳比例：10</w:t>
            </w:r>
          </w:p>
          <w:p>
            <w:pPr>
              <w:pStyle w:val="null5"/>
              <w:jc w:val="left"/>
            </w:pPr>
            <w:r>
              <w:rPr>
                <w:rFonts w:ascii="仿宋_GB2312" w:hAnsi="仿宋_GB2312" w:cs="仿宋_GB2312" w:eastAsia="仿宋_GB2312"/>
              </w:rPr>
              <w:t>缴纳说明：打到甲方指定账户，若乙方提供产品规格与甲方需求不符，则甲方有权不退还保证金。</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所有货物必须是全新未拆封的正品，拒绝拆改新、二手产品，以上货物都应能提供线上或线下，产品如何安全使用的培训服务，一年内不少于两次培训。</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本项目设置最高投标限价，不得超出预算。</w:t>
            </w:r>
          </w:p>
        </w:tc>
      </w:tr>
      <w:tr>
        <w:tc>
          <w:tcPr>
            <w:tcW w:type="dxa" w:w="2076"/>
          </w:tcPr>
          <w:p>
            <w:pPr>
              <w:pStyle w:val="null5"/>
              <w:jc w:val="left"/>
            </w:pPr>
            <w:r>
              <w:rPr>
                <w:rFonts w:ascii="仿宋_GB2312" w:hAnsi="仿宋_GB2312" w:cs="仿宋_GB2312" w:eastAsia="仿宋_GB2312"/>
              </w:rPr>
              <w:t>7</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质保期：3年，投标（响应）供应商亦可填报更长的质保期。</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合同签订后，5个工作日内安装、调试。</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巴彦淖尔市第四幼儿园</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1、货物进场时，达到付款条件起30日，支付合同总金额的20.00%</w:t>
            </w:r>
          </w:p>
          <w:p>
            <w:pPr>
              <w:pStyle w:val="null5"/>
              <w:jc w:val="left"/>
            </w:pPr>
            <w:r>
              <w:rPr>
                <w:rFonts w:ascii="仿宋_GB2312" w:hAnsi="仿宋_GB2312" w:cs="仿宋_GB2312" w:eastAsia="仿宋_GB2312"/>
              </w:rPr>
              <w:t>2、货物全部进场后，达到付款条件起30日，支付合同总金额的30.00%</w:t>
            </w:r>
          </w:p>
          <w:p>
            <w:pPr>
              <w:pStyle w:val="null5"/>
              <w:jc w:val="left"/>
            </w:pPr>
            <w:r>
              <w:rPr>
                <w:rFonts w:ascii="仿宋_GB2312" w:hAnsi="仿宋_GB2312" w:cs="仿宋_GB2312" w:eastAsia="仿宋_GB2312"/>
              </w:rPr>
              <w:t>3、合同货物在安装、调试完成后，采购人按照采购合同规定的技术、服务、安全标准，对供应商的履约情况进行验收。同时需完成人员培训，达到付款条件起30日，支付合同总金额的45.00%</w:t>
            </w:r>
          </w:p>
          <w:p>
            <w:pPr>
              <w:pStyle w:val="null5"/>
              <w:jc w:val="left"/>
            </w:pPr>
            <w:r>
              <w:rPr>
                <w:rFonts w:ascii="仿宋_GB2312" w:hAnsi="仿宋_GB2312" w:cs="仿宋_GB2312" w:eastAsia="仿宋_GB2312"/>
              </w:rPr>
              <w:t>4、平稳运行2年后，支付剩余费用，达到付款条件起30日，支付合同总金额的5.00%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缴纳比例：10</w:t>
            </w:r>
          </w:p>
          <w:p>
            <w:pPr>
              <w:pStyle w:val="null5"/>
              <w:jc w:val="left"/>
            </w:pPr>
            <w:r>
              <w:rPr>
                <w:rFonts w:ascii="仿宋_GB2312" w:hAnsi="仿宋_GB2312" w:cs="仿宋_GB2312" w:eastAsia="仿宋_GB2312"/>
              </w:rPr>
              <w:t>缴纳说明：打到甲方指定账户，若乙方提供产品规格与甲方需求不符，则甲方有权不退还保证金。</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所有货物必须是全新未拆封的正品，拒绝拆改新、二手产品，以上货物都应能提供线上或线下，产品如何安全使用的培训服务，一年内不少于两次培训。</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本项目设置最高投标限价，不得超出预算。</w:t>
            </w:r>
          </w:p>
        </w:tc>
      </w:tr>
      <w:tr>
        <w:tc>
          <w:tcPr>
            <w:tcW w:type="dxa" w:w="2076"/>
          </w:tcPr>
          <w:p>
            <w:pPr>
              <w:pStyle w:val="null5"/>
              <w:jc w:val="left"/>
            </w:pPr>
            <w:r>
              <w:rPr>
                <w:rFonts w:ascii="仿宋_GB2312" w:hAnsi="仿宋_GB2312" w:cs="仿宋_GB2312" w:eastAsia="仿宋_GB2312"/>
              </w:rPr>
              <w:t>7</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质保期：3年，投标（响应）供应商亦可填报更长的质保期。</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标的名称：合同包1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1、★其他分类-户外综合碳化积木提供有效的含有CNAS或和CMA的检测报告，检测报告中基本规范，机械与物理性能，易燃性能，邻苯二甲酸酯增塑剂，特定元素的迁移，甲醛等六项合格。 </w:t>
            </w:r>
            <w:r>
              <w:br/>
            </w:r>
            <w:r>
              <w:rPr>
                <w:rFonts w:ascii="仿宋_GB2312" w:hAnsi="仿宋_GB2312" w:cs="仿宋_GB2312" w:eastAsia="仿宋_GB2312"/>
              </w:rPr>
              <w:t xml:space="preserve"> 2、★其他分类-幼儿货运车、双人出租车、双人脚踏车(无脚踏板）、平衡车（豪华款）、建构小推车、4人座协力车需提供有效的《中国国家强制性产品认证证书》、《国家强制性产品认证试验报告》34项安全性能测试试验报告。</w:t>
            </w:r>
            <w:r>
              <w:br/>
            </w:r>
            <w:r>
              <w:rPr>
                <w:rFonts w:ascii="仿宋_GB2312" w:hAnsi="仿宋_GB2312" w:cs="仿宋_GB2312" w:eastAsia="仿宋_GB2312"/>
              </w:rPr>
              <w:t xml:space="preserve"> 3、★户外角色区-安吉探索积木656件提供有效的含有CNAS或和CMA的检测报告，检测报告中基本规范，机械与物理性能，易燃性能，邻苯二甲酸酯增塑剂，特定元素的迁移，甲醛等六项合格。</w:t>
            </w:r>
            <w:r>
              <w:br/>
            </w: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标的名称：合同包2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br/>
            </w:r>
            <w:r>
              <w:rPr>
                <w:rFonts w:ascii="仿宋_GB2312" w:hAnsi="仿宋_GB2312" w:cs="仿宋_GB2312" w:eastAsia="仿宋_GB2312"/>
              </w:rPr>
              <w:t xml:space="preserve"> 非洲鼓、响板、双响筒、沙锤，★ 提供检测机构出具的有效的符合《乐器有害物质限量》，并含 cmA、CNAS 认证标识的产品检测报报告。甲醛释放量≤0.08mg/㎥符合国家标准为合格产品。</w:t>
            </w:r>
            <w:r>
              <w:br/>
            </w:r>
            <w:r>
              <w:rPr>
                <w:rFonts w:ascii="仿宋_GB2312" w:hAnsi="仿宋_GB2312" w:cs="仿宋_GB2312" w:eastAsia="仿宋_GB2312"/>
              </w:rPr>
              <w:t xml:space="preserve"> 农耕坊-种植套装、时光沙漏、挤泥器，★提供检测机构出具的有效的含 cmA、CNAS 认证标识的产品检测报报告。1.特定年龄组的玩具产品中的材料和部件中可迁移元素(锑、砷、钡、镉、铬、铅、汞和硒)</w:t>
            </w:r>
            <w:r>
              <w:br/>
            </w:r>
            <w:r>
              <w:rPr>
                <w:rFonts w:ascii="仿宋_GB2312" w:hAnsi="仿宋_GB2312" w:cs="仿宋_GB2312" w:eastAsia="仿宋_GB2312"/>
              </w:rPr>
              <w:t xml:space="preserve"> 《非遗劳动实践主题活动 第一阶段》（上）、《非遗劳动实践主题活动 第二阶段》（上）、《非遗劳动实践主题活动 第三阶段》（上），★提供检测机构出具的有效的含 cmA、CNAS 认证标识的产品检测报报告。可迁移元素(锑、砷、钡、镉、铬、铅、汞和硒)。</w:t>
            </w:r>
            <w:r>
              <w:br/>
            </w:r>
            <w:r>
              <w:rPr>
                <w:rFonts w:ascii="仿宋_GB2312" w:hAnsi="仿宋_GB2312" w:cs="仿宋_GB2312" w:eastAsia="仿宋_GB2312"/>
              </w:rPr>
              <w:t xml:space="preserve"> 树脂沙具、天然海沙，★提供检测机构出具的有效的含 cmA、CNAS 认证标识的产品检测报报告。1.特定年龄组的玩具产品中的材料和部件中可迁移元素(锑、砷、钡、镉、铬、铅、汞和硒)</w:t>
            </w:r>
            <w:r>
              <w:br/>
            </w:r>
            <w:r>
              <w:rPr>
                <w:rFonts w:ascii="仿宋_GB2312" w:hAnsi="仿宋_GB2312" w:cs="仿宋_GB2312" w:eastAsia="仿宋_GB2312"/>
              </w:rPr>
              <w:t xml:space="preserve"> 幼教智能笔，</w:t>
            </w:r>
            <w:r>
              <w:br/>
            </w:r>
            <w:r>
              <w:rPr>
                <w:rFonts w:ascii="仿宋_GB2312" w:hAnsi="仿宋_GB2312" w:cs="仿宋_GB2312" w:eastAsia="仿宋_GB2312"/>
              </w:rPr>
              <w:t xml:space="preserve"> ★1.整体功能：配置不少于5个物理功能按键，支持上下翻页，音量调节，播放暂停，录音，语音操控，点读教学等功能；提供检测机构出具的有效的含 cmA、CNAS 认证标识的产品检测报报告。</w:t>
            </w:r>
            <w:r>
              <w:br/>
            </w:r>
            <w:r>
              <w:rPr>
                <w:rFonts w:ascii="仿宋_GB2312" w:hAnsi="仿宋_GB2312" w:cs="仿宋_GB2312" w:eastAsia="仿宋_GB2312"/>
              </w:rPr>
              <w:t xml:space="preserve"> ★2.扫书点读：提供检测机构出具的有效的含 cmA、CNAS 认证标识的产品检测报报告。</w:t>
            </w:r>
            <w:r>
              <w:br/>
            </w:r>
            <w:r>
              <w:rPr>
                <w:rFonts w:ascii="仿宋_GB2312" w:hAnsi="仿宋_GB2312" w:cs="仿宋_GB2312" w:eastAsia="仿宋_GB2312"/>
              </w:rPr>
              <w:t xml:space="preserve"> 1）支持扫书点读操控，可通过配套的主题课程教材进行点读操控，自动打开交互智能平板上里安装的数字教学课程内容应用，无需单独登录或者启动程序；</w:t>
            </w:r>
            <w:r>
              <w:br/>
            </w:r>
            <w:r>
              <w:rPr>
                <w:rFonts w:ascii="仿宋_GB2312" w:hAnsi="仿宋_GB2312" w:cs="仿宋_GB2312" w:eastAsia="仿宋_GB2312"/>
              </w:rPr>
              <w:t xml:space="preserve"> 2）支持点击OK键在flash视频动画播放/暂停，教学精彩一触即达；</w:t>
            </w:r>
            <w:r>
              <w:br/>
            </w:r>
            <w:r>
              <w:rPr>
                <w:rFonts w:ascii="仿宋_GB2312" w:hAnsi="仿宋_GB2312" w:cs="仿宋_GB2312" w:eastAsia="仿宋_GB2312"/>
              </w:rPr>
              <w:t xml:space="preserve"> 3）点读头响应延时≤40ms;</w:t>
            </w:r>
            <w:r>
              <w:br/>
            </w:r>
            <w:r>
              <w:rPr>
                <w:rFonts w:ascii="仿宋_GB2312" w:hAnsi="仿宋_GB2312" w:cs="仿宋_GB2312" w:eastAsia="仿宋_GB2312"/>
              </w:rPr>
              <w:t xml:space="preserve"> 3.智能遥控：支持智能摇控功能，短按实现翻页控制，兼容白板软件、PPT、PDF等多种演示软件课件，长按音量大小调整；支持播放/暂停等操作；</w:t>
            </w:r>
            <w:r>
              <w:br/>
            </w:r>
            <w:r>
              <w:rPr>
                <w:rFonts w:ascii="仿宋_GB2312" w:hAnsi="仿宋_GB2312" w:cs="仿宋_GB2312" w:eastAsia="仿宋_GB2312"/>
              </w:rPr>
              <w:t xml:space="preserve"> 4.语音操控：支持语音识别操控，可直接通过语音打开PC内已安装的应用、音量大小调整、打开关闭应用软件等系统操作；可直接通过语音调用搜索课件内容，检索对应课程等，轻松掌控课堂教学活动；</w:t>
            </w:r>
            <w:r>
              <w:br/>
            </w:r>
            <w:r>
              <w:rPr>
                <w:rFonts w:ascii="仿宋_GB2312" w:hAnsi="仿宋_GB2312" w:cs="仿宋_GB2312" w:eastAsia="仿宋_GB2312"/>
              </w:rPr>
              <w:t xml:space="preserve"> ★5.录音转写：提供录音转写工具软件，用户可以将录音文件上传云端进行转写，云端支持语音及转写后文档保存；转写成功后笔内部录音文件自动删除，避免文件冗余；提供检测机构出具的有效的含 cmA、CNAS 认证标识的产品检测报报告。</w:t>
            </w:r>
            <w:r>
              <w:br/>
            </w:r>
            <w:r>
              <w:rPr>
                <w:rFonts w:ascii="仿宋_GB2312" w:hAnsi="仿宋_GB2312" w:cs="仿宋_GB2312" w:eastAsia="仿宋_GB2312"/>
              </w:rPr>
              <w:t xml:space="preserve"> 6.一键录音：支持一键录音，自动分段存储；录音内容可存储在笔内部，内存不少于512MB；</w:t>
            </w:r>
            <w:r>
              <w:br/>
            </w:r>
            <w:r>
              <w:rPr>
                <w:rFonts w:ascii="仿宋_GB2312" w:hAnsi="仿宋_GB2312" w:cs="仿宋_GB2312" w:eastAsia="仿宋_GB2312"/>
              </w:rPr>
              <w:t xml:space="preserve"> ★7.无线接收器：提供检测机构出具的有效的含 cmA、CNAS 认证标识的产品检测报报告。</w:t>
            </w:r>
            <w:r>
              <w:br/>
            </w:r>
            <w:r>
              <w:rPr>
                <w:rFonts w:ascii="仿宋_GB2312" w:hAnsi="仿宋_GB2312" w:cs="仿宋_GB2312" w:eastAsia="仿宋_GB2312"/>
              </w:rPr>
              <w:t xml:space="preserve"> 1）无线接收器采用磁性吸附设计，不易丢失，1对1自动匹配，即插即用；</w:t>
            </w:r>
            <w:r>
              <w:br/>
            </w:r>
            <w:r>
              <w:rPr>
                <w:rFonts w:ascii="仿宋_GB2312" w:hAnsi="仿宋_GB2312" w:cs="仿宋_GB2312" w:eastAsia="仿宋_GB2312"/>
              </w:rPr>
              <w:t xml:space="preserve"> 2）采用RF 2.4GHz无线连接方式，无线接收距离最远可达10米，满足老师自主游戏化教学需求;</w:t>
            </w:r>
            <w:r>
              <w:br/>
            </w:r>
            <w:r>
              <w:rPr>
                <w:rFonts w:ascii="仿宋_GB2312" w:hAnsi="仿宋_GB2312" w:cs="仿宋_GB2312" w:eastAsia="仿宋_GB2312"/>
              </w:rPr>
              <w:t xml:space="preserve"> 8.自动节能：支持智能休眠节电，大于3分钟不使用时，自动断开进入待机状态；大于10分钟不使用时，自动关机；待机状态下，晃动笔，自动唤醒。保障笔使用不当造成电量损耗；锂电池：内置锂电池驱动，支持USB充电，联机使用时，满载续航能力大于4小时；脱机使用时，续航能力大于72小时；</w:t>
            </w:r>
            <w:r>
              <w:br/>
            </w: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标的名称：合同包3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具体技术参数要求：</w:t>
            </w:r>
            <w:r>
              <w:br/>
            </w:r>
            <w:r>
              <w:rPr>
                <w:rFonts w:ascii="仿宋_GB2312" w:hAnsi="仿宋_GB2312" w:cs="仿宋_GB2312" w:eastAsia="仿宋_GB2312"/>
              </w:rPr>
              <w:t xml:space="preserve"> 1、扭扭建构大型版、沙水探究区，★主要部件提供有效的《中国国家强制性产品认证证书》、《国家强制性产品认证试验报告》</w:t>
            </w:r>
            <w:r>
              <w:br/>
            </w:r>
            <w:r>
              <w:rPr>
                <w:rFonts w:ascii="仿宋_GB2312" w:hAnsi="仿宋_GB2312" w:cs="仿宋_GB2312" w:eastAsia="仿宋_GB2312"/>
              </w:rPr>
              <w:t xml:space="preserve"> 2、扭扭建构大型版-螺丝、螺帽，★提供检测机构出具有效的含cmA、CNAS 认证标识的产品检测报报告。产品在GB/T 22788-2016《玩具及儿童用品材料中总铅含量的测定》的检测中铅含量低于10mg/kg；GB/T26193-2010 《玩具材料中可迁移元素锑、砷、钡、镉、铬、铅、汞、硒的测定电感耦合等离子体质谱法》</w:t>
            </w:r>
            <w:r>
              <w:br/>
            </w:r>
            <w:r>
              <w:rPr>
                <w:rFonts w:ascii="仿宋_GB2312" w:hAnsi="仿宋_GB2312" w:cs="仿宋_GB2312" w:eastAsia="仿宋_GB2312"/>
              </w:rPr>
              <w:t xml:space="preserve"> 3、沙水探究区-阀门，★提供检测机构出具有效的含 cmA、CNAS 认证标识的产品检测报告。产品在GB/T 22788-2016《玩具及儿童用品材料中总铅含量的测定》的检测中铅含量低于10mg/kg。产品在GB/T 26193-2010《玩具材料中可迁移元素锑、砷、钡、镉、铬、铅、汞、硒的测定 电感耦合等离子体质谱法》中锑含量小于0.05mg/kg、砷含量小于0.05mg/kg、钡含量为1.41mg/kg、镉含量小于0.05mg/kg、铬含量为0.056mg/kg、铅含量为0.813mg/kg、汞含量为0.161mg/kg、硒含量小于0.05mg/kg。</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供应商应提交证明其有资格参加询价和成交后有能力履行合同的相关文件，并作为其响应文件的一部分，所有文件必须真实可靠、不得伪造，否则将按相关规定予以处罚。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五、按照询价通知书要求，供应商应当提交的其他资格、资信证明文件。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采购人根据符合采购需求、质量和服务相等且报价最低的原则确定成交供应商。</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2.1询价小组成员应当遵循客观、公正、审慎的原则，根据询价通知书规定的评审程序、评审方法和评审标准进行独立评审。</w:t>
      </w:r>
    </w:p>
    <w:p>
      <w:pPr>
        <w:pStyle w:val="null5"/>
        <w:ind w:firstLine="480"/>
        <w:jc w:val="left"/>
      </w:pPr>
      <w:r>
        <w:rPr>
          <w:rFonts w:ascii="仿宋_GB2312" w:hAnsi="仿宋_GB2312" w:cs="仿宋_GB2312" w:eastAsia="仿宋_GB2312"/>
        </w:rPr>
        <w:t>2.2具体评审事项由询价小组负责，并按询价通知书规定的办法进行评审。</w:t>
      </w:r>
    </w:p>
    <w:p>
      <w:pPr>
        <w:pStyle w:val="null5"/>
        <w:ind w:firstLine="480"/>
        <w:jc w:val="left"/>
      </w:pPr>
      <w:r>
        <w:rPr>
          <w:rFonts w:ascii="仿宋_GB2312" w:hAnsi="仿宋_GB2312" w:cs="仿宋_GB2312" w:eastAsia="仿宋_GB2312"/>
        </w:rPr>
        <w:t>3.询价小组</w:t>
      </w:r>
    </w:p>
    <w:p>
      <w:pPr>
        <w:pStyle w:val="null5"/>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其中由评审专家库产生的评审专家2人，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3.1询价小组由采购人代表和评审专家共3人以上单数组成，其中评审专家人数不得少于询价小组成员总数的2/3。</w:t>
      </w:r>
    </w:p>
    <w:p>
      <w:pPr>
        <w:pStyle w:val="null5"/>
        <w:ind w:firstLine="480"/>
        <w:jc w:val="left"/>
      </w:pPr>
      <w:r>
        <w:rPr>
          <w:rFonts w:ascii="仿宋_GB2312" w:hAnsi="仿宋_GB2312" w:cs="仿宋_GB2312" w:eastAsia="仿宋_GB2312"/>
        </w:rPr>
        <w:t>3.2询价小组成员有下列情形之一的，应当回避：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3.3询价小组应当履行下列职责：</w:t>
      </w:r>
    </w:p>
    <w:p>
      <w:pPr>
        <w:pStyle w:val="null5"/>
        <w:ind w:firstLine="480"/>
        <w:jc w:val="left"/>
      </w:pPr>
      <w:r>
        <w:rPr>
          <w:rFonts w:ascii="仿宋_GB2312" w:hAnsi="仿宋_GB2312" w:cs="仿宋_GB2312" w:eastAsia="仿宋_GB2312"/>
        </w:rPr>
        <w:t>（1）确认或者制定询价通知书；</w:t>
      </w:r>
    </w:p>
    <w:p>
      <w:pPr>
        <w:pStyle w:val="null5"/>
        <w:ind w:firstLine="480"/>
        <w:jc w:val="left"/>
      </w:pPr>
      <w:r>
        <w:rPr>
          <w:rFonts w:ascii="仿宋_GB2312" w:hAnsi="仿宋_GB2312" w:cs="仿宋_GB2312" w:eastAsia="仿宋_GB2312"/>
        </w:rPr>
        <w:t>（2）从符合相应资格条件的供应商名单中确定不少于3家的供应商参加询价；</w:t>
      </w:r>
    </w:p>
    <w:p>
      <w:pPr>
        <w:pStyle w:val="null5"/>
        <w:ind w:firstLine="480"/>
        <w:jc w:val="left"/>
      </w:pPr>
      <w:r>
        <w:rPr>
          <w:rFonts w:ascii="仿宋_GB2312" w:hAnsi="仿宋_GB2312" w:cs="仿宋_GB2312" w:eastAsia="仿宋_GB2312"/>
        </w:rPr>
        <w:t>（3）审查供应商的响应文件并作出评价；</w:t>
      </w:r>
    </w:p>
    <w:p>
      <w:pPr>
        <w:pStyle w:val="null5"/>
        <w:ind w:firstLine="480"/>
        <w:jc w:val="left"/>
      </w:pPr>
      <w:r>
        <w:rPr>
          <w:rFonts w:ascii="仿宋_GB2312" w:hAnsi="仿宋_GB2312" w:cs="仿宋_GB2312" w:eastAsia="仿宋_GB2312"/>
        </w:rPr>
        <w:t>（4）要求供应商解释或者澄清其响应文件；</w:t>
      </w:r>
    </w:p>
    <w:p>
      <w:pPr>
        <w:pStyle w:val="null5"/>
        <w:ind w:firstLine="480"/>
        <w:jc w:val="left"/>
      </w:pPr>
      <w:r>
        <w:rPr>
          <w:rFonts w:ascii="仿宋_GB2312" w:hAnsi="仿宋_GB2312" w:cs="仿宋_GB2312" w:eastAsia="仿宋_GB2312"/>
        </w:rPr>
        <w:t>（5）编写评审报告；</w:t>
      </w:r>
    </w:p>
    <w:p>
      <w:pPr>
        <w:pStyle w:val="null5"/>
        <w:ind w:firstLine="480"/>
        <w:jc w:val="left"/>
      </w:pPr>
      <w:r>
        <w:rPr>
          <w:rFonts w:ascii="仿宋_GB2312" w:hAnsi="仿宋_GB2312" w:cs="仿宋_GB2312" w:eastAsia="仿宋_GB2312"/>
        </w:rPr>
        <w:t>（6）告知采购人、采购代理机构在评审过程中发现的供应商的违法违规行为；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4.1询价小组不接受供应商主动提出的澄清、说明或更正。</w:t>
      </w:r>
    </w:p>
    <w:p>
      <w:pPr>
        <w:pStyle w:val="null5"/>
        <w:ind w:firstLine="480"/>
        <w:jc w:val="left"/>
      </w:pPr>
      <w:r>
        <w:rPr>
          <w:rFonts w:ascii="仿宋_GB2312" w:hAnsi="仿宋_GB2312" w:cs="仿宋_GB2312" w:eastAsia="仿宋_GB2312"/>
        </w:rPr>
        <w:t>4.2询价小组对供应商提交的澄清、说明或更正有疑问的，可以要求供应商进一步澄清、说明或更正。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（1）供应商未按照询价通知书要求提交保证金的，响应无效；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（3）未实质性响应询价通知书的，响应无效；</w:t>
      </w:r>
    </w:p>
    <w:p>
      <w:pPr>
        <w:pStyle w:val="null5"/>
        <w:ind w:firstLine="480"/>
        <w:jc w:val="left"/>
      </w:pPr>
      <w:r>
        <w:rPr>
          <w:rFonts w:ascii="仿宋_GB2312" w:hAnsi="仿宋_GB2312" w:cs="仿宋_GB2312" w:eastAsia="仿宋_GB2312"/>
        </w:rPr>
        <w:t>（4）法律、法规和询价通知书规定的其他无效情形。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出现下列情形之一的，采购人或者采购代理机构应当终止询价采购活动，发布项目终止公告并说明原因，重新开展采购活动：</w:t>
      </w:r>
    </w:p>
    <w:p>
      <w:pPr>
        <w:pStyle w:val="null5"/>
        <w:ind w:firstLine="480"/>
        <w:jc w:val="left"/>
      </w:pPr>
      <w:r>
        <w:rPr>
          <w:rFonts w:ascii="仿宋_GB2312" w:hAnsi="仿宋_GB2312" w:cs="仿宋_GB2312" w:eastAsia="仿宋_GB2312"/>
        </w:rPr>
        <w:t>（1）因情况变化，不再符合规定的询价采购方式适用情形的；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（3）在采购过程中符合竞争要求的供应商或者报价未超过采购预算的供应商不足3家的。</w:t>
      </w:r>
    </w:p>
    <w:p>
      <w:pPr>
        <w:pStyle w:val="null5"/>
        <w:ind w:firstLine="480"/>
        <w:jc w:val="left"/>
      </w:pPr>
      <w:r>
        <w:rPr>
          <w:rFonts w:ascii="仿宋_GB2312" w:hAnsi="仿宋_GB2312" w:cs="仿宋_GB2312" w:eastAsia="仿宋_GB2312"/>
        </w:rPr>
        <w:t>（4）法律、法规以及询价通知书规定其他情形。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评审结束后，询价小组根据采购人书面授权直接确定成交供应商或者由采购人从评审报告提出的成交候选供应商中按顺序确定成交供应商。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询价通知书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响应文件规范性、符合性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响应文件的签署、盖章、涂改、删除、插字、公章使用等符合询价通知书要求；响应文件文件的格式、文字、目录等符合询价通知书要求或对投标无实质性影响。</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2.响应文件应当对询价通知书提出的要求和条件作出明确响应并满足询价通知书全部实质性要求。商务要求与技术标准与要求中，标“★”均为实质性参数。</w:t>
            </w:r>
          </w:p>
        </w:tc>
      </w:tr>
      <w:tr>
        <w:tc>
          <w:tcPr>
            <w:tcW w:type="dxa" w:w="1038"/>
          </w:tcPr>
          <w:p>
            <w:pPr>
              <w:pStyle w:val="null5"/>
              <w:jc w:val="left"/>
            </w:pPr>
            <w:r>
              <w:rPr>
                <w:rFonts w:ascii="仿宋_GB2312" w:hAnsi="仿宋_GB2312" w:cs="仿宋_GB2312" w:eastAsia="仿宋_GB2312"/>
              </w:rPr>
              <w:t>7</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不存在询价通知书要求的其他无效投标情形；不存在围标、串标和法律法规规定的其它无效投标条款。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响应文件规范性、符合性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响应文件的签署、盖章、涂改、删除、插字、公章使用等符合询价通知书要求；响应文件文件的格式、文字、目录等符合询价通知书要求或对投标无实质性影响。</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2.响应文件应当对询价通知书提出的要求和条件作出明确响应并满足询价通知书全部实质性要求。商务要求与技术标准与要求中，标“★”均为实质性参数。</w:t>
            </w:r>
          </w:p>
        </w:tc>
      </w:tr>
      <w:tr>
        <w:tc>
          <w:tcPr>
            <w:tcW w:type="dxa" w:w="1038"/>
          </w:tcPr>
          <w:p>
            <w:pPr>
              <w:pStyle w:val="null5"/>
              <w:jc w:val="left"/>
            </w:pPr>
            <w:r>
              <w:rPr>
                <w:rFonts w:ascii="仿宋_GB2312" w:hAnsi="仿宋_GB2312" w:cs="仿宋_GB2312" w:eastAsia="仿宋_GB2312"/>
              </w:rPr>
              <w:t>7</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不存在询价通知书要求的其他无效投标情形；不存在围标、串标和法律法规规定的其它无效投标条款。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响应文件规范性、符合性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响应文件的签署、盖章、涂改、删除、插字、公章使用等符合询价通知书要求；响应文件文件的格式、文字、目录等符合询价通知书要求或对投标无实质性影响。</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2.响应文件应当对询价通知书提出的要求和条件作出明确响应并满足询价通知书全部实质性要求。商务要求与技术标准与要求中，标“★”均为实质性参数。</w:t>
            </w:r>
          </w:p>
        </w:tc>
      </w:tr>
      <w:tr>
        <w:tc>
          <w:tcPr>
            <w:tcW w:type="dxa" w:w="1038"/>
          </w:tcPr>
          <w:p>
            <w:pPr>
              <w:pStyle w:val="null5"/>
              <w:jc w:val="left"/>
            </w:pPr>
            <w:r>
              <w:rPr>
                <w:rFonts w:ascii="仿宋_GB2312" w:hAnsi="仿宋_GB2312" w:cs="仿宋_GB2312" w:eastAsia="仿宋_GB2312"/>
              </w:rPr>
              <w:t>7</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不存在询价通知书要求的其他无效投标情形；不存在围标、串标和法律法规规定的其它无效投标条款。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pPr>
      <w:r>
        <w:rPr>
          <w:rFonts w:ascii="仿宋_GB2312" w:hAnsi="仿宋_GB2312" w:cs="仿宋_GB2312" w:eastAsia="仿宋_GB2312"/>
        </w:rPr>
        <w:t>采购包1：</w:t>
      </w:r>
    </w:p>
    <w:p>
      <w:pPr>
        <w:pStyle w:val="null5"/>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pPr>
            <w:r>
              <w:rPr>
                <w:rFonts w:ascii="仿宋_GB2312" w:hAnsi="仿宋_GB2312" w:cs="仿宋_GB2312" w:eastAsia="仿宋_GB2312"/>
              </w:rPr>
              <w:t xml:space="preserve"> 序号</w:t>
            </w:r>
          </w:p>
        </w:tc>
        <w:tc>
          <w:tcPr>
            <w:tcW w:type="dxa" w:w="1661"/>
          </w:tcPr>
          <w:p>
            <w:pPr>
              <w:pStyle w:val="null5"/>
            </w:pPr>
            <w:r>
              <w:rPr>
                <w:rFonts w:ascii="仿宋_GB2312" w:hAnsi="仿宋_GB2312" w:cs="仿宋_GB2312" w:eastAsia="仿宋_GB2312"/>
              </w:rPr>
              <w:t xml:space="preserve"> 情形</w:t>
            </w:r>
          </w:p>
        </w:tc>
        <w:tc>
          <w:tcPr>
            <w:tcW w:type="dxa" w:w="2492"/>
          </w:tcPr>
          <w:p>
            <w:pPr>
              <w:pStyle w:val="null5"/>
            </w:pPr>
            <w:r>
              <w:rPr>
                <w:rFonts w:ascii="仿宋_GB2312" w:hAnsi="仿宋_GB2312" w:cs="仿宋_GB2312" w:eastAsia="仿宋_GB2312"/>
              </w:rPr>
              <w:t xml:space="preserve"> 适用对象</w:t>
            </w:r>
          </w:p>
        </w:tc>
        <w:tc>
          <w:tcPr>
            <w:tcW w:type="dxa" w:w="831"/>
          </w:tcPr>
          <w:p>
            <w:pPr>
              <w:pStyle w:val="null5"/>
            </w:pPr>
            <w:r>
              <w:rPr>
                <w:rFonts w:ascii="仿宋_GB2312" w:hAnsi="仿宋_GB2312" w:cs="仿宋_GB2312" w:eastAsia="仿宋_GB2312"/>
              </w:rPr>
              <w:t xml:space="preserve"> 比例</w:t>
            </w:r>
          </w:p>
        </w:tc>
        <w:tc>
          <w:tcPr>
            <w:tcW w:type="dxa" w:w="2492"/>
          </w:tcPr>
          <w:p>
            <w:pPr>
              <w:pStyle w:val="null5"/>
            </w:pPr>
            <w:r>
              <w:rPr>
                <w:rFonts w:ascii="仿宋_GB2312" w:hAnsi="仿宋_GB2312" w:cs="仿宋_GB2312" w:eastAsia="仿宋_GB2312"/>
              </w:rPr>
              <w:t xml:space="preserve"> 说明</w:t>
            </w:r>
          </w:p>
        </w:tc>
      </w:tr>
      <w:tr>
        <w:tc>
          <w:tcPr>
            <w:tcW w:type="dxa" w:w="8307"/>
            <w:gridSpan w:val="5"/>
          </w:tcPr>
          <w:p>
            <w:pPr>
              <w:pStyle w:val="null5"/>
            </w:pPr>
            <w:r>
              <w:rPr>
                <w:rFonts w:ascii="仿宋_GB2312" w:hAnsi="仿宋_GB2312" w:cs="仿宋_GB2312" w:eastAsia="仿宋_GB2312"/>
              </w:rPr>
              <w:t xml:space="preserve"> 无</w:t>
            </w:r>
          </w:p>
        </w:tc>
      </w:tr>
    </w:tbl>
    <w:p>
      <w:pPr>
        <w:pStyle w:val="null5"/>
      </w:pPr>
      <w:r>
        <w:rPr>
          <w:rFonts w:ascii="仿宋_GB2312" w:hAnsi="仿宋_GB2312" w:cs="仿宋_GB2312" w:eastAsia="仿宋_GB2312"/>
        </w:rPr>
        <w:t>采购包2：</w:t>
      </w:r>
    </w:p>
    <w:p>
      <w:pPr>
        <w:pStyle w:val="null5"/>
      </w:pPr>
      <w:r>
        <w:rPr>
          <w:rFonts w:ascii="仿宋_GB2312" w:hAnsi="仿宋_GB2312" w:cs="仿宋_GB2312" w:eastAsia="仿宋_GB2312"/>
        </w:rPr>
        <w:t>采购包2：</w:t>
      </w:r>
    </w:p>
    <w:p>
      <w:pPr>
        <w:pStyle w:val="null5"/>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pPr>
            <w:r>
              <w:rPr>
                <w:rFonts w:ascii="仿宋_GB2312" w:hAnsi="仿宋_GB2312" w:cs="仿宋_GB2312" w:eastAsia="仿宋_GB2312"/>
              </w:rPr>
              <w:t xml:space="preserve"> 序号</w:t>
            </w:r>
          </w:p>
        </w:tc>
        <w:tc>
          <w:tcPr>
            <w:tcW w:type="dxa" w:w="1661"/>
          </w:tcPr>
          <w:p>
            <w:pPr>
              <w:pStyle w:val="null5"/>
            </w:pPr>
            <w:r>
              <w:rPr>
                <w:rFonts w:ascii="仿宋_GB2312" w:hAnsi="仿宋_GB2312" w:cs="仿宋_GB2312" w:eastAsia="仿宋_GB2312"/>
              </w:rPr>
              <w:t xml:space="preserve"> 情形</w:t>
            </w:r>
          </w:p>
        </w:tc>
        <w:tc>
          <w:tcPr>
            <w:tcW w:type="dxa" w:w="2492"/>
          </w:tcPr>
          <w:p>
            <w:pPr>
              <w:pStyle w:val="null5"/>
            </w:pPr>
            <w:r>
              <w:rPr>
                <w:rFonts w:ascii="仿宋_GB2312" w:hAnsi="仿宋_GB2312" w:cs="仿宋_GB2312" w:eastAsia="仿宋_GB2312"/>
              </w:rPr>
              <w:t xml:space="preserve"> 适用对象</w:t>
            </w:r>
          </w:p>
        </w:tc>
        <w:tc>
          <w:tcPr>
            <w:tcW w:type="dxa" w:w="831"/>
          </w:tcPr>
          <w:p>
            <w:pPr>
              <w:pStyle w:val="null5"/>
            </w:pPr>
            <w:r>
              <w:rPr>
                <w:rFonts w:ascii="仿宋_GB2312" w:hAnsi="仿宋_GB2312" w:cs="仿宋_GB2312" w:eastAsia="仿宋_GB2312"/>
              </w:rPr>
              <w:t xml:space="preserve"> 比例</w:t>
            </w:r>
          </w:p>
        </w:tc>
        <w:tc>
          <w:tcPr>
            <w:tcW w:type="dxa" w:w="2492"/>
          </w:tcPr>
          <w:p>
            <w:pPr>
              <w:pStyle w:val="null5"/>
            </w:pPr>
            <w:r>
              <w:rPr>
                <w:rFonts w:ascii="仿宋_GB2312" w:hAnsi="仿宋_GB2312" w:cs="仿宋_GB2312" w:eastAsia="仿宋_GB2312"/>
              </w:rPr>
              <w:t xml:space="preserve"> 说明</w:t>
            </w:r>
          </w:p>
        </w:tc>
      </w:tr>
      <w:tr>
        <w:tc>
          <w:tcPr>
            <w:tcW w:type="dxa" w:w="8307"/>
            <w:gridSpan w:val="5"/>
          </w:tcPr>
          <w:p>
            <w:pPr>
              <w:pStyle w:val="null5"/>
            </w:pPr>
            <w:r>
              <w:rPr>
                <w:rFonts w:ascii="仿宋_GB2312" w:hAnsi="仿宋_GB2312" w:cs="仿宋_GB2312" w:eastAsia="仿宋_GB2312"/>
              </w:rPr>
              <w:t xml:space="preserve"> 无</w:t>
            </w:r>
          </w:p>
        </w:tc>
      </w:tr>
    </w:tbl>
    <w:p>
      <w:pPr>
        <w:pStyle w:val="null5"/>
      </w:pPr>
      <w:r>
        <w:rPr>
          <w:rFonts w:ascii="仿宋_GB2312" w:hAnsi="仿宋_GB2312" w:cs="仿宋_GB2312" w:eastAsia="仿宋_GB2312"/>
        </w:rPr>
        <w:t>采购包3：</w:t>
      </w:r>
    </w:p>
    <w:p>
      <w:pPr>
        <w:pStyle w:val="null5"/>
      </w:pPr>
      <w:r>
        <w:rPr>
          <w:rFonts w:ascii="仿宋_GB2312" w:hAnsi="仿宋_GB2312" w:cs="仿宋_GB2312" w:eastAsia="仿宋_GB2312"/>
        </w:rPr>
        <w:t>采购包3：</w:t>
      </w:r>
    </w:p>
    <w:p>
      <w:pPr>
        <w:pStyle w:val="null5"/>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pPr>
            <w:r>
              <w:rPr>
                <w:rFonts w:ascii="仿宋_GB2312" w:hAnsi="仿宋_GB2312" w:cs="仿宋_GB2312" w:eastAsia="仿宋_GB2312"/>
              </w:rPr>
              <w:t xml:space="preserve"> 序号</w:t>
            </w:r>
          </w:p>
        </w:tc>
        <w:tc>
          <w:tcPr>
            <w:tcW w:type="dxa" w:w="1661"/>
          </w:tcPr>
          <w:p>
            <w:pPr>
              <w:pStyle w:val="null5"/>
            </w:pPr>
            <w:r>
              <w:rPr>
                <w:rFonts w:ascii="仿宋_GB2312" w:hAnsi="仿宋_GB2312" w:cs="仿宋_GB2312" w:eastAsia="仿宋_GB2312"/>
              </w:rPr>
              <w:t xml:space="preserve"> 情形</w:t>
            </w:r>
          </w:p>
        </w:tc>
        <w:tc>
          <w:tcPr>
            <w:tcW w:type="dxa" w:w="2492"/>
          </w:tcPr>
          <w:p>
            <w:pPr>
              <w:pStyle w:val="null5"/>
            </w:pPr>
            <w:r>
              <w:rPr>
                <w:rFonts w:ascii="仿宋_GB2312" w:hAnsi="仿宋_GB2312" w:cs="仿宋_GB2312" w:eastAsia="仿宋_GB2312"/>
              </w:rPr>
              <w:t xml:space="preserve"> 适用对象</w:t>
            </w:r>
          </w:p>
        </w:tc>
        <w:tc>
          <w:tcPr>
            <w:tcW w:type="dxa" w:w="831"/>
          </w:tcPr>
          <w:p>
            <w:pPr>
              <w:pStyle w:val="null5"/>
            </w:pPr>
            <w:r>
              <w:rPr>
                <w:rFonts w:ascii="仿宋_GB2312" w:hAnsi="仿宋_GB2312" w:cs="仿宋_GB2312" w:eastAsia="仿宋_GB2312"/>
              </w:rPr>
              <w:t xml:space="preserve"> 比例</w:t>
            </w:r>
          </w:p>
        </w:tc>
        <w:tc>
          <w:tcPr>
            <w:tcW w:type="dxa" w:w="2492"/>
          </w:tcPr>
          <w:p>
            <w:pPr>
              <w:pStyle w:val="null5"/>
            </w:pPr>
            <w:r>
              <w:rPr>
                <w:rFonts w:ascii="仿宋_GB2312" w:hAnsi="仿宋_GB2312" w:cs="仿宋_GB2312" w:eastAsia="仿宋_GB2312"/>
              </w:rPr>
              <w:t xml:space="preserve"> 说明</w:t>
            </w:r>
          </w:p>
        </w:tc>
      </w:tr>
      <w:tr>
        <w:tc>
          <w:tcPr>
            <w:tcW w:type="dxa" w:w="8307"/>
            <w:gridSpan w:val="5"/>
          </w:tcPr>
          <w:p>
            <w:pPr>
              <w:pStyle w:val="null5"/>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