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临河区2020年人居环境整治项目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巴彦淖尔市临河区农牧局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内蒙古博腾项目管理咨询有限公司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BSZCLHS-G-H-250003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内蒙古博腾项目管理咨询有限公司</w:t>
      </w:r>
      <w:r>
        <w:rPr>
          <w:rFonts w:ascii="仿宋_GB2312" w:hAnsi="仿宋_GB2312" w:cs="仿宋_GB2312" w:eastAsia="仿宋_GB2312"/>
        </w:rPr>
        <w:t xml:space="preserve"> 受 </w:t>
      </w:r>
      <w:r>
        <w:rPr>
          <w:rFonts w:ascii="仿宋_GB2312" w:hAnsi="仿宋_GB2312" w:cs="仿宋_GB2312" w:eastAsia="仿宋_GB2312"/>
        </w:rPr>
        <w:t>巴彦淖尔市临河区农牧局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临河区2020年人居环境整治项目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临河区2020年人居环境整治项目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BSZCLHS-G-H-250003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临政采计划[2025]00004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5,190,000.00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吸污车（3m³）</w:t>
            </w:r>
          </w:p>
        </w:tc>
        <w:tc>
          <w:tcPr>
            <w:tcW w:type="dxa" w:w="831"/>
          </w:tcPr>
          <w:p>
            <w:pPr>
              <w:pStyle w:val="null5"/>
              <w:jc w:val="right"/>
            </w:pPr>
            <w:r>
              <w:rPr>
                <w:rFonts w:ascii="仿宋_GB2312" w:hAnsi="仿宋_GB2312" w:cs="仿宋_GB2312" w:eastAsia="仿宋_GB2312"/>
              </w:rPr>
              <w:t>11.00</w:t>
            </w:r>
          </w:p>
        </w:tc>
        <w:tc>
          <w:tcPr>
            <w:tcW w:type="dxa" w:w="831"/>
          </w:tcPr>
          <w:p>
            <w:pPr>
              <w:pStyle w:val="null5"/>
              <w:jc w:val="right"/>
            </w:pPr>
            <w:r>
              <w:rPr>
                <w:rFonts w:ascii="仿宋_GB2312" w:hAnsi="仿宋_GB2312" w:cs="仿宋_GB2312" w:eastAsia="仿宋_GB2312"/>
              </w:rPr>
              <w:t>1,540,000.00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吸污车（5m³）</w:t>
            </w:r>
          </w:p>
        </w:tc>
        <w:tc>
          <w:tcPr>
            <w:tcW w:type="dxa" w:w="831"/>
          </w:tcPr>
          <w:p>
            <w:pPr>
              <w:pStyle w:val="null5"/>
              <w:jc w:val="right"/>
            </w:pPr>
            <w:r>
              <w:rPr>
                <w:rFonts w:ascii="仿宋_GB2312" w:hAnsi="仿宋_GB2312" w:cs="仿宋_GB2312" w:eastAsia="仿宋_GB2312"/>
              </w:rPr>
              <w:t>11.00</w:t>
            </w:r>
          </w:p>
        </w:tc>
        <w:tc>
          <w:tcPr>
            <w:tcW w:type="dxa" w:w="831"/>
          </w:tcPr>
          <w:p>
            <w:pPr>
              <w:pStyle w:val="null5"/>
              <w:jc w:val="right"/>
            </w:pPr>
            <w:r>
              <w:rPr>
                <w:rFonts w:ascii="仿宋_GB2312" w:hAnsi="仿宋_GB2312" w:cs="仿宋_GB2312" w:eastAsia="仿宋_GB2312"/>
              </w:rPr>
              <w:t>1,650,000.00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垃圾桶</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right"/>
            </w:pPr>
            <w:r>
              <w:rPr>
                <w:rFonts w:ascii="仿宋_GB2312" w:hAnsi="仿宋_GB2312" w:cs="仿宋_GB2312" w:eastAsia="仿宋_GB2312"/>
              </w:rPr>
              <w:t>2,000,000.00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内蒙古博腾项目管理咨询有限公司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中小企业办公楼211房间</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王琴</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15134954321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巴彦淖尔市临河区农牧局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临河区机关事务管理局综合办公楼B座7楼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邱局长</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15647804466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代理服务费收费标准：参照《内蒙古自治区建设工程招标代理服务收费指导意见》的通知（内工建协【2022】34号）规定的收费标准收取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采购包1保证金金额：100,000.00元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巴彦淖尔市临河区农牧局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内蒙古博腾项目管理咨询有限公司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采购吸污车（3m³）11辆、吸污车（5m³）11辆、垃圾桶4000个；使得生活垃圾处理过程中安全环保，全程无异味、无烟尘、无噪音影响周边环境，使农村生活垃圾得到集中处理，改变农村环境脏乱差现状，切实目改善农村人居环境，美化村容村貌，使农村生态环境得到明显改善;开创村镇生活垃圾处理新模式，就地处理，就近处理，节能减排，绿色环保，节约大量土地资源，符合社会发展的需要;真正从垃圾产生的源头减量,减少转运过程的二次污染,真正做到生活垃圾的就地化、减量化、资源化利用,改善居民的宜居环境,解快部分当地困难群众的就业问题。</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自合同签订之日起合同签订之后20日历天日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根据甲方提供地点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1、根据财政拨付情况进行支付，达到付款条件起30日，支付合同总金额的30.00%</w:t>
            </w:r>
          </w:p>
          <w:p>
            <w:pPr>
              <w:pStyle w:val="null5"/>
              <w:jc w:val="left"/>
            </w:pPr>
            <w:r>
              <w:rPr>
                <w:rFonts w:ascii="仿宋_GB2312" w:hAnsi="仿宋_GB2312" w:cs="仿宋_GB2312" w:eastAsia="仿宋_GB2312"/>
              </w:rPr>
              <w:t>2、根据财政拨付情况进行支付，达到付款条件起30日，支付合同总金额的20.00%</w:t>
            </w:r>
          </w:p>
          <w:p>
            <w:pPr>
              <w:pStyle w:val="null5"/>
              <w:jc w:val="left"/>
            </w:pPr>
            <w:r>
              <w:rPr>
                <w:rFonts w:ascii="仿宋_GB2312" w:hAnsi="仿宋_GB2312" w:cs="仿宋_GB2312" w:eastAsia="仿宋_GB2312"/>
              </w:rPr>
              <w:t>3、根据财政拨付情况进行支付，达到付款条件起30日，支付合同总金额的20.00%</w:t>
            </w:r>
          </w:p>
          <w:p>
            <w:pPr>
              <w:pStyle w:val="null5"/>
              <w:jc w:val="left"/>
            </w:pPr>
            <w:r>
              <w:rPr>
                <w:rFonts w:ascii="仿宋_GB2312" w:hAnsi="仿宋_GB2312" w:cs="仿宋_GB2312" w:eastAsia="仿宋_GB2312"/>
              </w:rPr>
              <w:t>4、根据财政拨付情况进行支付，达到付款条件起30日，支付合同总金额的30.00%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标的名称：吸污车（3m³）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48"/>
                <w:b/>
              </w:rPr>
              <w:t>3m</w:t>
            </w:r>
            <w:r>
              <w:rPr>
                <w:rFonts w:ascii="仿宋_GB2312" w:hAnsi="仿宋_GB2312" w:cs="仿宋_GB2312" w:eastAsia="仿宋_GB2312"/>
                <w:sz w:val="48"/>
                <w:b/>
              </w:rPr>
              <w:t>³吸污车技术参数</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、发动机功率（</w:t>
            </w:r>
            <w:r>
              <w:rPr>
                <w:rFonts w:ascii="仿宋_GB2312" w:hAnsi="仿宋_GB2312" w:cs="仿宋_GB2312" w:eastAsia="仿宋_GB2312"/>
                <w:sz w:val="28"/>
              </w:rPr>
              <w:t>Kw</w:t>
            </w:r>
            <w:r>
              <w:rPr>
                <w:rFonts w:ascii="仿宋_GB2312" w:hAnsi="仿宋_GB2312" w:cs="仿宋_GB2312" w:eastAsia="仿宋_GB2312"/>
                <w:sz w:val="28"/>
              </w:rPr>
              <w:t>):65-70</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、总质量</w:t>
            </w:r>
            <w:r>
              <w:rPr>
                <w:rFonts w:ascii="仿宋_GB2312" w:hAnsi="仿宋_GB2312" w:cs="仿宋_GB2312" w:eastAsia="仿宋_GB2312"/>
                <w:sz w:val="28"/>
              </w:rPr>
              <w:t xml:space="preserve">(kg) </w:t>
            </w:r>
            <w:r>
              <w:rPr>
                <w:rFonts w:ascii="仿宋_GB2312" w:hAnsi="仿宋_GB2312" w:cs="仿宋_GB2312" w:eastAsia="仿宋_GB2312"/>
                <w:sz w:val="28"/>
              </w:rPr>
              <w:t>:4000-5000</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、外形尺寸（</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≤5055×1853×2152</w:t>
            </w:r>
          </w:p>
          <w:p>
            <w:pPr>
              <w:pStyle w:val="null5"/>
              <w:jc w:val="both"/>
            </w:pPr>
            <w:r>
              <w:rPr>
                <w:rFonts w:ascii="仿宋_GB2312" w:hAnsi="仿宋_GB2312" w:cs="仿宋_GB2312" w:eastAsia="仿宋_GB2312"/>
                <w:sz w:val="28"/>
              </w:rPr>
              <w:t>4</w:t>
            </w:r>
            <w:r>
              <w:rPr>
                <w:rFonts w:ascii="仿宋_GB2312" w:hAnsi="仿宋_GB2312" w:cs="仿宋_GB2312" w:eastAsia="仿宋_GB2312"/>
                <w:sz w:val="28"/>
              </w:rPr>
              <w:t>、整备质量（</w:t>
            </w:r>
            <w:r>
              <w:rPr>
                <w:rFonts w:ascii="仿宋_GB2312" w:hAnsi="仿宋_GB2312" w:cs="仿宋_GB2312" w:eastAsia="仿宋_GB2312"/>
                <w:sz w:val="28"/>
              </w:rPr>
              <w:t xml:space="preserve">kg) </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000-2500</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、罐体容积（</w:t>
            </w:r>
            <w:r>
              <w:rPr>
                <w:rFonts w:ascii="仿宋_GB2312" w:hAnsi="仿宋_GB2312" w:cs="仿宋_GB2312" w:eastAsia="仿宋_GB2312"/>
                <w:sz w:val="28"/>
              </w:rPr>
              <w:t>m³</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6-3.0</w:t>
            </w:r>
          </w:p>
          <w:p>
            <w:pPr>
              <w:pStyle w:val="null5"/>
              <w:jc w:val="both"/>
            </w:pPr>
            <w:r>
              <w:rPr>
                <w:rFonts w:ascii="仿宋_GB2312" w:hAnsi="仿宋_GB2312" w:cs="仿宋_GB2312" w:eastAsia="仿宋_GB2312"/>
                <w:sz w:val="28"/>
              </w:rPr>
              <w:t>6</w:t>
            </w:r>
            <w:r>
              <w:rPr>
                <w:rFonts w:ascii="仿宋_GB2312" w:hAnsi="仿宋_GB2312" w:cs="仿宋_GB2312" w:eastAsia="仿宋_GB2312"/>
                <w:sz w:val="28"/>
              </w:rPr>
              <w:t>、最高车速</w:t>
            </w:r>
            <w:r>
              <w:rPr>
                <w:rFonts w:ascii="仿宋_GB2312" w:hAnsi="仿宋_GB2312" w:cs="仿宋_GB2312" w:eastAsia="仿宋_GB2312"/>
                <w:sz w:val="28"/>
              </w:rPr>
              <w:t>(km/h) ≥110</w:t>
            </w:r>
          </w:p>
          <w:p>
            <w:pPr>
              <w:pStyle w:val="null5"/>
              <w:jc w:val="both"/>
            </w:pPr>
            <w:r>
              <w:rPr>
                <w:rFonts w:ascii="仿宋_GB2312" w:hAnsi="仿宋_GB2312" w:cs="仿宋_GB2312" w:eastAsia="仿宋_GB2312"/>
                <w:sz w:val="28"/>
              </w:rPr>
              <w:t>7</w:t>
            </w:r>
            <w:r>
              <w:rPr>
                <w:rFonts w:ascii="仿宋_GB2312" w:hAnsi="仿宋_GB2312" w:cs="仿宋_GB2312" w:eastAsia="仿宋_GB2312"/>
                <w:sz w:val="28"/>
              </w:rPr>
              <w:t>、轴距（</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≥2600</w:t>
            </w:r>
          </w:p>
          <w:p>
            <w:pPr>
              <w:pStyle w:val="null5"/>
              <w:jc w:val="both"/>
            </w:pPr>
            <w:r>
              <w:rPr>
                <w:rFonts w:ascii="仿宋_GB2312" w:hAnsi="仿宋_GB2312" w:cs="仿宋_GB2312" w:eastAsia="仿宋_GB2312"/>
                <w:sz w:val="28"/>
              </w:rPr>
              <w:t>8</w:t>
            </w:r>
            <w:r>
              <w:rPr>
                <w:rFonts w:ascii="仿宋_GB2312" w:hAnsi="仿宋_GB2312" w:cs="仿宋_GB2312" w:eastAsia="仿宋_GB2312"/>
                <w:sz w:val="28"/>
              </w:rPr>
              <w:t>、前轮距（</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≤1345</w:t>
            </w:r>
          </w:p>
          <w:p>
            <w:pPr>
              <w:pStyle w:val="null5"/>
              <w:jc w:val="both"/>
            </w:pPr>
            <w:r>
              <w:rPr>
                <w:rFonts w:ascii="仿宋_GB2312" w:hAnsi="仿宋_GB2312" w:cs="仿宋_GB2312" w:eastAsia="仿宋_GB2312"/>
                <w:sz w:val="28"/>
              </w:rPr>
              <w:t>9</w:t>
            </w:r>
            <w:r>
              <w:rPr>
                <w:rFonts w:ascii="仿宋_GB2312" w:hAnsi="仿宋_GB2312" w:cs="仿宋_GB2312" w:eastAsia="仿宋_GB2312"/>
                <w:sz w:val="28"/>
              </w:rPr>
              <w:t>、后轮距（</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≤1292</w:t>
            </w:r>
          </w:p>
          <w:p>
            <w:pPr>
              <w:pStyle w:val="null5"/>
              <w:jc w:val="both"/>
            </w:pPr>
            <w:r>
              <w:rPr>
                <w:rFonts w:ascii="仿宋_GB2312" w:hAnsi="仿宋_GB2312" w:cs="仿宋_GB2312" w:eastAsia="仿宋_GB2312"/>
                <w:sz w:val="28"/>
              </w:rPr>
              <w:t>10</w:t>
            </w:r>
            <w:r>
              <w:rPr>
                <w:rFonts w:ascii="仿宋_GB2312" w:hAnsi="仿宋_GB2312" w:cs="仿宋_GB2312" w:eastAsia="仿宋_GB2312"/>
                <w:sz w:val="28"/>
              </w:rPr>
              <w:t>、燃料种类 柴油</w:t>
            </w:r>
          </w:p>
          <w:p>
            <w:pPr>
              <w:pStyle w:val="null5"/>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 xml:space="preserve">、排放标准 </w:t>
            </w:r>
            <w:r>
              <w:rPr>
                <w:rFonts w:ascii="仿宋_GB2312" w:hAnsi="仿宋_GB2312" w:cs="仿宋_GB2312" w:eastAsia="仿宋_GB2312"/>
                <w:sz w:val="28"/>
              </w:rPr>
              <w:t>GB17691-2018</w:t>
            </w:r>
            <w:r>
              <w:rPr>
                <w:rFonts w:ascii="仿宋_GB2312" w:hAnsi="仿宋_GB2312" w:cs="仿宋_GB2312" w:eastAsia="仿宋_GB2312"/>
                <w:sz w:val="28"/>
              </w:rPr>
              <w:t>国</w:t>
            </w:r>
            <w:r>
              <w:rPr>
                <w:rFonts w:ascii="仿宋_GB2312" w:hAnsi="仿宋_GB2312" w:cs="仿宋_GB2312" w:eastAsia="仿宋_GB2312"/>
                <w:sz w:val="28"/>
              </w:rPr>
              <w:t>Ⅵ</w:t>
            </w:r>
          </w:p>
        </w:tc>
      </w:tr>
    </w:tbl>
    <w:p>
      <w:pPr>
        <w:pStyle w:val="null5"/>
        <w:jc w:val="left"/>
      </w:pPr>
      <w:r>
        <w:rPr>
          <w:rFonts w:ascii="仿宋_GB2312" w:hAnsi="仿宋_GB2312" w:cs="仿宋_GB2312" w:eastAsia="仿宋_GB2312"/>
        </w:rPr>
        <w:t>标的名称：吸污车（5m³）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48"/>
                <w:b/>
              </w:rPr>
              <w:t>5m</w:t>
            </w:r>
            <w:r>
              <w:rPr>
                <w:rFonts w:ascii="仿宋_GB2312" w:hAnsi="仿宋_GB2312" w:cs="仿宋_GB2312" w:eastAsia="仿宋_GB2312"/>
                <w:sz w:val="48"/>
                <w:b/>
              </w:rPr>
              <w:t>³吸污车技术参数</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、发动机功率（</w:t>
            </w:r>
            <w:r>
              <w:rPr>
                <w:rFonts w:ascii="仿宋_GB2312" w:hAnsi="仿宋_GB2312" w:cs="仿宋_GB2312" w:eastAsia="仿宋_GB2312"/>
                <w:sz w:val="28"/>
              </w:rPr>
              <w:t>Kw</w:t>
            </w:r>
            <w:r>
              <w:rPr>
                <w:rFonts w:ascii="仿宋_GB2312" w:hAnsi="仿宋_GB2312" w:cs="仿宋_GB2312" w:eastAsia="仿宋_GB2312"/>
                <w:sz w:val="28"/>
              </w:rPr>
              <w:t>）</w:t>
            </w:r>
            <w:r>
              <w:rPr>
                <w:rFonts w:ascii="仿宋_GB2312" w:hAnsi="仿宋_GB2312" w:cs="仿宋_GB2312" w:eastAsia="仿宋_GB2312"/>
                <w:sz w:val="28"/>
              </w:rPr>
              <w:t>:85-90</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、总质量</w:t>
            </w:r>
            <w:r>
              <w:rPr>
                <w:rFonts w:ascii="仿宋_GB2312" w:hAnsi="仿宋_GB2312" w:cs="仿宋_GB2312" w:eastAsia="仿宋_GB2312"/>
                <w:sz w:val="28"/>
              </w:rPr>
              <w:t xml:space="preserve">  </w:t>
            </w:r>
            <w:r>
              <w:rPr>
                <w:rFonts w:ascii="仿宋_GB2312" w:hAnsi="仿宋_GB2312" w:cs="仿宋_GB2312" w:eastAsia="仿宋_GB2312"/>
                <w:sz w:val="28"/>
              </w:rPr>
              <w:t xml:space="preserve">(kg) </w:t>
            </w:r>
            <w:r>
              <w:rPr>
                <w:rFonts w:ascii="仿宋_GB2312" w:hAnsi="仿宋_GB2312" w:cs="仿宋_GB2312" w:eastAsia="仿宋_GB2312"/>
                <w:sz w:val="28"/>
              </w:rPr>
              <w:t>:7000-8500</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、外形尺寸（</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≤5995×2130×2845</w:t>
            </w:r>
          </w:p>
          <w:p>
            <w:pPr>
              <w:pStyle w:val="null5"/>
              <w:jc w:val="both"/>
            </w:pPr>
            <w:r>
              <w:rPr>
                <w:rFonts w:ascii="仿宋_GB2312" w:hAnsi="仿宋_GB2312" w:cs="仿宋_GB2312" w:eastAsia="仿宋_GB2312"/>
                <w:sz w:val="28"/>
              </w:rPr>
              <w:t>4</w:t>
            </w:r>
            <w:r>
              <w:rPr>
                <w:rFonts w:ascii="仿宋_GB2312" w:hAnsi="仿宋_GB2312" w:cs="仿宋_GB2312" w:eastAsia="仿宋_GB2312"/>
                <w:sz w:val="28"/>
              </w:rPr>
              <w:t>、整备质量（</w:t>
            </w:r>
            <w:r>
              <w:rPr>
                <w:rFonts w:ascii="仿宋_GB2312" w:hAnsi="仿宋_GB2312" w:cs="仿宋_GB2312" w:eastAsia="仿宋_GB2312"/>
                <w:sz w:val="28"/>
              </w:rPr>
              <w:t xml:space="preserve">kg) </w:t>
            </w:r>
            <w:r>
              <w:rPr>
                <w:rFonts w:ascii="仿宋_GB2312" w:hAnsi="仿宋_GB2312" w:cs="仿宋_GB2312" w:eastAsia="仿宋_GB2312"/>
                <w:sz w:val="28"/>
              </w:rPr>
              <w:t>:3500-5000</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、罐体容积（</w:t>
            </w:r>
            <w:r>
              <w:rPr>
                <w:rFonts w:ascii="仿宋_GB2312" w:hAnsi="仿宋_GB2312" w:cs="仿宋_GB2312" w:eastAsia="仿宋_GB2312"/>
                <w:sz w:val="28"/>
              </w:rPr>
              <w:t>m³</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4.5</w:t>
            </w:r>
            <w:r>
              <w:rPr>
                <w:rFonts w:ascii="仿宋_GB2312" w:hAnsi="仿宋_GB2312" w:cs="仿宋_GB2312" w:eastAsia="仿宋_GB2312"/>
                <w:sz w:val="28"/>
              </w:rPr>
              <w:t>-5</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8"/>
              </w:rPr>
              <w:t>6</w:t>
            </w:r>
            <w:r>
              <w:rPr>
                <w:rFonts w:ascii="仿宋_GB2312" w:hAnsi="仿宋_GB2312" w:cs="仿宋_GB2312" w:eastAsia="仿宋_GB2312"/>
                <w:sz w:val="28"/>
              </w:rPr>
              <w:t xml:space="preserve">、最高车速  </w:t>
            </w:r>
            <w:r>
              <w:rPr>
                <w:rFonts w:ascii="仿宋_GB2312" w:hAnsi="仿宋_GB2312" w:cs="仿宋_GB2312" w:eastAsia="仿宋_GB2312"/>
                <w:sz w:val="28"/>
              </w:rPr>
              <w:t>(km/h) ≥80</w:t>
            </w:r>
          </w:p>
          <w:p>
            <w:pPr>
              <w:pStyle w:val="null5"/>
              <w:jc w:val="both"/>
            </w:pPr>
            <w:r>
              <w:rPr>
                <w:rFonts w:ascii="仿宋_GB2312" w:hAnsi="仿宋_GB2312" w:cs="仿宋_GB2312" w:eastAsia="仿宋_GB2312"/>
                <w:sz w:val="28"/>
              </w:rPr>
              <w:t>7</w:t>
            </w:r>
            <w:r>
              <w:rPr>
                <w:rFonts w:ascii="仿宋_GB2312" w:hAnsi="仿宋_GB2312" w:cs="仿宋_GB2312" w:eastAsia="仿宋_GB2312"/>
                <w:sz w:val="28"/>
              </w:rPr>
              <w:t>、轴距（</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≤3370</w:t>
            </w:r>
          </w:p>
          <w:p>
            <w:pPr>
              <w:pStyle w:val="null5"/>
              <w:jc w:val="both"/>
            </w:pPr>
            <w:r>
              <w:rPr>
                <w:rFonts w:ascii="仿宋_GB2312" w:hAnsi="仿宋_GB2312" w:cs="仿宋_GB2312" w:eastAsia="仿宋_GB2312"/>
                <w:sz w:val="28"/>
              </w:rPr>
              <w:t>8</w:t>
            </w:r>
            <w:r>
              <w:rPr>
                <w:rFonts w:ascii="仿宋_GB2312" w:hAnsi="仿宋_GB2312" w:cs="仿宋_GB2312" w:eastAsia="仿宋_GB2312"/>
                <w:sz w:val="28"/>
              </w:rPr>
              <w:t xml:space="preserve">、前轮距（ </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≤1670</w:t>
            </w:r>
          </w:p>
          <w:p>
            <w:pPr>
              <w:pStyle w:val="null5"/>
              <w:jc w:val="both"/>
            </w:pPr>
            <w:r>
              <w:rPr>
                <w:rFonts w:ascii="仿宋_GB2312" w:hAnsi="仿宋_GB2312" w:cs="仿宋_GB2312" w:eastAsia="仿宋_GB2312"/>
                <w:sz w:val="28"/>
              </w:rPr>
              <w:t>9</w:t>
            </w:r>
            <w:r>
              <w:rPr>
                <w:rFonts w:ascii="仿宋_GB2312" w:hAnsi="仿宋_GB2312" w:cs="仿宋_GB2312" w:eastAsia="仿宋_GB2312"/>
                <w:sz w:val="28"/>
              </w:rPr>
              <w:t xml:space="preserve">、后轮距（ </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≤1616</w:t>
            </w:r>
          </w:p>
          <w:p>
            <w:pPr>
              <w:pStyle w:val="null5"/>
              <w:jc w:val="both"/>
            </w:pPr>
            <w:r>
              <w:rPr>
                <w:rFonts w:ascii="仿宋_GB2312" w:hAnsi="仿宋_GB2312" w:cs="仿宋_GB2312" w:eastAsia="仿宋_GB2312"/>
                <w:sz w:val="28"/>
              </w:rPr>
              <w:t>10</w:t>
            </w:r>
            <w:r>
              <w:rPr>
                <w:rFonts w:ascii="仿宋_GB2312" w:hAnsi="仿宋_GB2312" w:cs="仿宋_GB2312" w:eastAsia="仿宋_GB2312"/>
                <w:sz w:val="28"/>
              </w:rPr>
              <w:t>、燃料种类 柴油</w:t>
            </w:r>
          </w:p>
          <w:p>
            <w:pPr>
              <w:pStyle w:val="null5"/>
              <w:jc w:val="both"/>
            </w:pPr>
            <w:r>
              <w:rPr>
                <w:rFonts w:ascii="仿宋_GB2312" w:hAnsi="仿宋_GB2312" w:cs="仿宋_GB2312" w:eastAsia="仿宋_GB2312"/>
                <w:sz w:val="28"/>
              </w:rPr>
              <w:t>11</w:t>
            </w:r>
            <w:r>
              <w:rPr>
                <w:rFonts w:ascii="仿宋_GB2312" w:hAnsi="仿宋_GB2312" w:cs="仿宋_GB2312" w:eastAsia="仿宋_GB2312"/>
                <w:sz w:val="28"/>
              </w:rPr>
              <w:t xml:space="preserve">、排放标准 </w:t>
            </w:r>
            <w:r>
              <w:rPr>
                <w:rFonts w:ascii="仿宋_GB2312" w:hAnsi="仿宋_GB2312" w:cs="仿宋_GB2312" w:eastAsia="仿宋_GB2312"/>
                <w:sz w:val="28"/>
              </w:rPr>
              <w:t>GB17691-2018</w:t>
            </w:r>
            <w:r>
              <w:rPr>
                <w:rFonts w:ascii="仿宋_GB2312" w:hAnsi="仿宋_GB2312" w:cs="仿宋_GB2312" w:eastAsia="仿宋_GB2312"/>
                <w:sz w:val="28"/>
              </w:rPr>
              <w:t>国</w:t>
            </w:r>
            <w:r>
              <w:rPr>
                <w:rFonts w:ascii="仿宋_GB2312" w:hAnsi="仿宋_GB2312" w:cs="仿宋_GB2312" w:eastAsia="仿宋_GB2312"/>
                <w:sz w:val="28"/>
              </w:rPr>
              <w:t>Ⅵ</w:t>
            </w:r>
          </w:p>
        </w:tc>
      </w:tr>
    </w:tbl>
    <w:p>
      <w:pPr>
        <w:pStyle w:val="null5"/>
        <w:jc w:val="left"/>
      </w:pPr>
      <w:r>
        <w:rPr>
          <w:rFonts w:ascii="仿宋_GB2312" w:hAnsi="仿宋_GB2312" w:cs="仿宋_GB2312" w:eastAsia="仿宋_GB2312"/>
        </w:rPr>
        <w:t>标的名称：垃圾桶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281"/>
              <w:jc w:val="left"/>
            </w:pPr>
            <w:r>
              <w:rPr>
                <w:rFonts w:ascii="仿宋_GB2312" w:hAnsi="仿宋_GB2312" w:cs="仿宋_GB2312" w:eastAsia="仿宋_GB2312"/>
              </w:rPr>
              <w:t>详见附件</w:t>
            </w:r>
          </w:p>
          <w:p>
            <w:pPr>
              <w:pStyle w:val="null5"/>
              <w:ind w:left="345"/>
              <w:jc w:val="left"/>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技术指标、参数</w:t>
            </w:r>
          </w:p>
        </w:tc>
        <w:tc>
          <w:tcPr>
            <w:tcW w:type="dxa" w:w="3115"/>
          </w:tcPr>
          <w:p>
            <w:pPr>
              <w:pStyle w:val="null5"/>
              <w:jc w:val="left"/>
            </w:pPr>
            <w:r>
              <w:rPr>
                <w:rFonts w:ascii="仿宋_GB2312" w:hAnsi="仿宋_GB2312" w:cs="仿宋_GB2312" w:eastAsia="仿宋_GB2312"/>
              </w:rPr>
              <w:t>根据所投产品技术指标、参数进行评审，标注“★” 的为重要技术参数技术指标、不允许偏离。其他未标记参数完全满足或优于招标文件要求的得10分，未标记的其他技术参数每有一项不满足扣1分，扣完10分为止。（注：技术参数需要供应商提供检测报告，或鉴定证书，或技术白皮书，或说明书，或网站截图，或产品彩页或投标人认为需要提供的其他技术资料作为佐证材料。）</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①本项目实施方案、②实施计划、③实施管理制度、④项目验收方案等内容进行评审。对以上4项内容进行评审。项目实施内容丰富、详细、多样，项目实施方案完善合理得12分，项目实施内容比较详细，项目实施方案比较完善合理得10分，项目实施内容基本详细，项目实施方案基本完善合理得8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供应商提供的①产品采购、检验、包装、运输等直至交付用户全过程的产品质量控制；②质量保障方案进行评审。对以上2项内容进行评审。质量保障措施完善合理得8分，质量保障措施完善比较合理得6分，质量保障措施完善基本合理得4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培训计划，内容包含：1、培训课程内容安排；2、培训计划；3、培训方式；对以上3项内容进行评审。满分9分，每缺少一项内容或内容非专门针对本项目，或内容不能满足本项目实际需求的每一项扣3分，扣完为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设备运输、交付方案</w:t>
            </w:r>
          </w:p>
        </w:tc>
        <w:tc>
          <w:tcPr>
            <w:tcW w:type="dxa" w:w="3115"/>
          </w:tcPr>
          <w:p>
            <w:pPr>
              <w:pStyle w:val="null5"/>
              <w:jc w:val="left"/>
            </w:pPr>
            <w:r>
              <w:rPr>
                <w:rFonts w:ascii="仿宋_GB2312" w:hAnsi="仿宋_GB2312" w:cs="仿宋_GB2312" w:eastAsia="仿宋_GB2312"/>
              </w:rPr>
              <w:t>设备运输、交付方案包括：1.设备的运输；2.交付方式。设备运输及交付方案合理得6分，设备运输及交付方案比较合理得4分，设备运输及交付方案基本合理得3分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售后服务保障</w:t>
            </w:r>
          </w:p>
        </w:tc>
        <w:tc>
          <w:tcPr>
            <w:tcW w:type="dxa" w:w="3115"/>
          </w:tcPr>
          <w:p>
            <w:pPr>
              <w:pStyle w:val="null5"/>
              <w:jc w:val="left"/>
            </w:pPr>
            <w:r>
              <w:rPr>
                <w:rFonts w:ascii="仿宋_GB2312" w:hAnsi="仿宋_GB2312" w:cs="仿宋_GB2312" w:eastAsia="仿宋_GB2312"/>
              </w:rPr>
              <w:t>1、提供售后服务承诺；2、提供上门服务及技术支持方案；3、配备专业的售后服务团队，售后服务人员分工；4、及时保障故障检测及排除的方案。对以上4项内容进行评审 。满分10分，每缺少一项内容或内容非专门针对本项目，或内容不能满足本项目实际需求的每一项扣2.5分，扣完为止。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投标人针对本项目制定应急方案，对可能出现的突发情况包括但不限于有应急预案（1分）、应对措施（1分）、货物破损（1分）、紧急调换货（1 分）、备品备件（1分）等方面，根据投标人提供的证明材料进行比较，每提供1项方案得1分，满分5分。每有一项缺项扣1分，不提供者不得分。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投标企业提供类似项目业绩；有一项得5分最多得10分；（需提供中标通知书或供货合同）</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