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巴彦淖尔市黄河水厂水质预警监控能力建设项目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巴彦淖尔市临河区环境保护局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内蒙古建荣工程项目管理有限公司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BSZCLHS-G-H-250006</w:t>
      </w:r>
    </w:p>
    <w:p>
      <w:pPr>
        <w:pStyle w:val="null5"/>
        <w:jc w:val="center"/>
      </w:pPr>
      <w:r>
        <w:rPr>
          <w:rFonts w:ascii="仿宋_GB2312" w:hAnsi="仿宋_GB2312" w:cs="仿宋_GB2312" w:eastAsia="仿宋_GB2312"/>
        </w:rPr>
        <w:t>2025年01月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内蒙古建荣工程项目管理有限公司</w:t>
      </w:r>
      <w:r>
        <w:rPr>
          <w:rFonts w:ascii="仿宋_GB2312" w:hAnsi="仿宋_GB2312" w:cs="仿宋_GB2312" w:eastAsia="仿宋_GB2312"/>
        </w:rPr>
        <w:t xml:space="preserve"> 受 </w:t>
      </w:r>
      <w:r>
        <w:rPr>
          <w:rFonts w:ascii="仿宋_GB2312" w:hAnsi="仿宋_GB2312" w:cs="仿宋_GB2312" w:eastAsia="仿宋_GB2312"/>
        </w:rPr>
        <w:t>巴彦淖尔市临河区环境保护局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巴彦淖尔市黄河水厂水质预警监控能力建设项目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巴彦淖尔市黄河水厂水质预警监控能力建设项目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BSZCLHS-G-H-250006</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临政采计划[2025]00071</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5,750,000.00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巴彦淖尔市黄河水厂水质预警监控能力建设项目</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5,750,000.00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内蒙古建荣工程项目管理有限公司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内蒙古自治区巴彦淖尔市临河区利民西街便民市场二楼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015000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苏静</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19004781200</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巴彦淖尔市临河区环境保护局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党政大楼D栋6楼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015000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李琛</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15804785866</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采购单位授权评标委员会按照采购文件规定的方式确定中标（成交）供应商。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代理服务费收费标准：60000元</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采购包1保证金金额：100,000.00元</w:t>
            </w:r>
          </w:p>
          <w:p>
            <w:pPr>
              <w:pStyle w:val="null5"/>
              <w:jc w:val="left"/>
            </w:pPr>
            <w:r>
              <w:rPr>
                <w:rFonts w:ascii="仿宋_GB2312" w:hAnsi="仿宋_GB2312" w:cs="仿宋_GB2312" w:eastAsia="仿宋_GB2312"/>
              </w:rPr>
              <w:t>缴交渠道：虚拟保证金,电子保函</w:t>
            </w:r>
          </w:p>
          <w:p>
            <w:pPr>
              <w:pStyle w:val="null5"/>
              <w:jc w:val="left"/>
            </w:pPr>
            <w:r>
              <w:rPr>
                <w:rFonts w:ascii="仿宋_GB2312" w:hAnsi="仿宋_GB2312" w:cs="仿宋_GB2312" w:eastAsia="仿宋_GB2312"/>
              </w:rPr>
              <w:t xml:space="preserve"> 其他说明：</w:t>
            </w:r>
          </w:p>
          <w:p>
            <w:pPr>
              <w:pStyle w:val="null5"/>
              <w:jc w:val="left"/>
            </w:pPr>
            <w:r>
              <w:rPr>
                <w:rFonts w:ascii="仿宋_GB2312" w:hAnsi="仿宋_GB2312" w:cs="仿宋_GB2312" w:eastAsia="仿宋_GB2312"/>
              </w:rPr>
              <w:t xml:space="preserve"> 1、缴纳截止时间为本项目投标（报价）截止时间，以保证金账户实际收款为准；</w:t>
            </w:r>
          </w:p>
          <w:p>
            <w:pPr>
              <w:pStyle w:val="null5"/>
              <w:jc w:val="left"/>
            </w:pPr>
            <w:r>
              <w:rPr>
                <w:rFonts w:ascii="仿宋_GB2312" w:hAnsi="仿宋_GB2312" w:cs="仿宋_GB2312" w:eastAsia="仿宋_GB2312"/>
              </w:rPr>
              <w:t xml:space="preserve"> 2、采用线下缴纳的，投标单位必须通过基本账户转账至保证金账户，在汇款时要在备注信息中注明本项目的编号及用途（如“项目编号，投标保证金”）。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巴彦淖尔市临河区环境保护局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内蒙古建荣工程项目管理有限公司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审查投标人有效的营业执照或事业单位法人证书或执业许可证或自然人的身份证明。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审查投标人2023年度或2024年度经会计师事务所出具的财务审计报告或其基本开户银行出 具的近一年内的银行资信证明。</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1.提供递交投标文件截止之日前一年内（至少一个月）的良好缴纳税收的相关凭据。（以税 务机关提供的纳税凭据或银行入账单为准）2.提供递交响应文件截止之日前一年内（至少一 个月）缴纳社会保险的凭证。（以专用收据或社会保险缴纳清单为准） 注：其他组织和自然 人也需要提供缴纳税收的凭据金额缴纳社保的凭据。依法免税或不需要缴纳社会保障资金的 供应商，应提供相应文件证明其依法免税或不需要缴纳社会保障资金。</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审查投标人出具的“具有履行合同所必须的设备和专业技术能力”声明。</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到提交投标文件的截止时间，投标人未被列入失信被执行人、重大税收违法失信主体、政府 采购严重违法失信行为记录名单。以“信用中国”网（www.creditchina.gov.cn） 、中国政 府采购网（www.ccgp.gov.cn） 网站查询结果为准。</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为确保水源水质的安全，及时发现和预警水源水质问题。 需满足的要求：满足水源水质的安全，并及时发现和预警水源水质问题。</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6个月</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巴彦淖尔市临河区</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1、根据工程进度财政资金到位后支付，达到付款条件起30日，支付合同总金额的100.00%</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标的名称：巴彦淖尔市黄河水厂水质预警监控能力建设项目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详见附件</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由采购人代表和评审专家两部分共7人组成，</w:t>
      </w:r>
      <w:r>
        <w:rPr>
          <w:rFonts w:ascii="仿宋_GB2312" w:hAnsi="仿宋_GB2312" w:cs="仿宋_GB2312" w:eastAsia="仿宋_GB2312"/>
        </w:rPr>
        <w:t>其中由评审专家库产生的评审专家5人，</w:t>
      </w:r>
      <w:r>
        <w:rPr>
          <w:rFonts w:ascii="仿宋_GB2312" w:hAnsi="仿宋_GB2312" w:cs="仿宋_GB2312" w:eastAsia="仿宋_GB2312"/>
        </w:rPr>
        <w:t>由采购人派出的采购人代表2人。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技术部分59.00分</w:t>
            </w:r>
          </w:p>
          <w:p>
            <w:pPr>
              <w:pStyle w:val="null5"/>
              <w:jc w:val="left"/>
            </w:pPr>
            <w:r>
              <w:rPr>
                <w:rFonts w:ascii="仿宋_GB2312" w:hAnsi="仿宋_GB2312" w:cs="仿宋_GB2312" w:eastAsia="仿宋_GB2312"/>
              </w:rPr>
              <w:t>商务部分11.00分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主要技术指标</w:t>
            </w:r>
          </w:p>
        </w:tc>
        <w:tc>
          <w:tcPr>
            <w:tcW w:type="dxa" w:w="3115"/>
          </w:tcPr>
          <w:p>
            <w:pPr>
              <w:pStyle w:val="null5"/>
              <w:jc w:val="left"/>
            </w:pPr>
            <w:r>
              <w:rPr>
                <w:rFonts w:ascii="仿宋_GB2312" w:hAnsi="仿宋_GB2312" w:cs="仿宋_GB2312" w:eastAsia="仿宋_GB2312"/>
              </w:rPr>
              <w:t>由评委会根据投标供应商服务要求响应情况进行打分，全部满足或优于招标文件要求的得满分20分。 （1）标▲技术要求每有一项负偏离，扣1分；非标▲技术要求每有一项负偏离，扣0.5分，扣完为止。 （2）正偏离不加分。 （3）标▲技术要求的证明材料要采用环境保护部环境监测仪器质量监督检验中心的检测报告或市级及以上计量部门出具的检测报告或其他证明材料的复印件。</w:t>
            </w:r>
          </w:p>
        </w:tc>
        <w:tc>
          <w:tcPr>
            <w:tcW w:type="dxa" w:w="1038"/>
          </w:tcPr>
          <w:p>
            <w:pPr>
              <w:pStyle w:val="null5"/>
              <w:jc w:val="right"/>
            </w:pPr>
            <w:r>
              <w:rPr>
                <w:rFonts w:ascii="仿宋_GB2312" w:hAnsi="仿宋_GB2312" w:cs="仿宋_GB2312" w:eastAsia="仿宋_GB2312"/>
              </w:rPr>
              <w:t>20.00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水质分析仪获证情况</w:t>
            </w:r>
          </w:p>
        </w:tc>
        <w:tc>
          <w:tcPr>
            <w:tcW w:type="dxa" w:w="3115"/>
          </w:tcPr>
          <w:p>
            <w:pPr>
              <w:pStyle w:val="null5"/>
              <w:jc w:val="left"/>
            </w:pPr>
            <w:r>
              <w:rPr>
                <w:rFonts w:ascii="仿宋_GB2312" w:hAnsi="仿宋_GB2312" w:cs="仿宋_GB2312" w:eastAsia="仿宋_GB2312"/>
              </w:rPr>
              <w:t>投标人所投产品五参数、高锰酸盐指数、化学需氧量、氨氮、总磷、总氮、六价铬、砷水质分析仪具有环保产品认证证书和环境保护部环境监测仪器质量监督检验中心的检测报告，全部提供的4分，缺一项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需求分析方案及重难点理解</w:t>
            </w:r>
          </w:p>
        </w:tc>
        <w:tc>
          <w:tcPr>
            <w:tcW w:type="dxa" w:w="3115"/>
          </w:tcPr>
          <w:p>
            <w:pPr>
              <w:pStyle w:val="null5"/>
              <w:jc w:val="left"/>
            </w:pPr>
            <w:r>
              <w:rPr>
                <w:rFonts w:ascii="仿宋_GB2312" w:hAnsi="仿宋_GB2312" w:cs="仿宋_GB2312" w:eastAsia="仿宋_GB2312"/>
              </w:rPr>
              <w:t>需求分析：投标人充分了解系统功能及其架构，对项目需求进行相应分析并提供需求分析方案，对项目重点和难点的理解、对水质自动站现场情况熟悉并进行的详细阐述，并对设备布局提供合理的技术图纸及方案及需求的详细分析以及针对重点难点的应对解决方案，评委会根据各投标人的需求分析方案进行综合评审； （1）投标人充分了解系统功能及其架构，对项目需求进行详细的分析并提供详细的需求分析方案完全满足项目需求的，得2-3分；基本满足项目需求的，得1-2分；投标人未完整提供相关内容得0-1分。 （2）对项目重点和难点的理解完全满足项目需求的，得2-3分；基本满足项目需求的，得1-2分；投标人未完整提供相关内容得0-1分。 （3）对水质自动站现场情况熟悉并进行的详细阐述，并对设备布局提供合理的技术图纸及方案及需求的详细分析以及针对重点难点的应对解决方案，项目需求理解准确到位得2-3分；理解基本准确到位得1-2分；投标人未完整提供相关内容得0-1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水质自动监测站总体设计方案</w:t>
            </w:r>
          </w:p>
        </w:tc>
        <w:tc>
          <w:tcPr>
            <w:tcW w:type="dxa" w:w="3115"/>
          </w:tcPr>
          <w:p>
            <w:pPr>
              <w:pStyle w:val="null5"/>
              <w:jc w:val="left"/>
            </w:pPr>
            <w:r>
              <w:rPr>
                <w:rFonts w:ascii="仿宋_GB2312" w:hAnsi="仿宋_GB2312" w:cs="仿宋_GB2312" w:eastAsia="仿宋_GB2312"/>
              </w:rPr>
              <w:t>（1）投标人针对技术要求并结合项目的地域、仪器设备和水质等情况编制项目总体设计技术方案。（包括水质自动监测系统中配水及预处理单元、分析单元、控制单元、数据采集与传输、辅助单元、配套单元等各单元）整体技术方案内容详细、针对性高、可实施性强的得2-3分，整体技术方案内容基本详细、针对性基本较高、可实施性基本较强的得1-2分，未完整提供相关内容得0-1分。 （2）系统总体设计方案按照技术要求响应，科学合理并遵循先进、实用、专业、安全、经济等原则，整体系统设计方案内容详细、针对性高、可实施性强的得2-3分，整体系统设计方案内容基本详细、针对性基本较高、可实施性基本较强的得1-2分，未完整提供相关内容得0-1分。 （3）仪器设备安装调试方案明确、细致、合理、技术路线清晰，时间进度安排明确得2-3分，仪器设备安装调试方案明确、细致、合理、技术路线清晰，时间进度安排基本明确得1-2分，未完整提供相关内容得0-1分。</w:t>
            </w:r>
          </w:p>
        </w:tc>
        <w:tc>
          <w:tcPr>
            <w:tcW w:type="dxa" w:w="1038"/>
          </w:tcPr>
          <w:p>
            <w:pPr>
              <w:pStyle w:val="null5"/>
              <w:jc w:val="right"/>
            </w:pPr>
            <w:r>
              <w:rPr>
                <w:rFonts w:ascii="仿宋_GB2312" w:hAnsi="仿宋_GB2312" w:cs="仿宋_GB2312" w:eastAsia="仿宋_GB2312"/>
              </w:rPr>
              <w:t>9.00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组织实施方案</w:t>
            </w:r>
          </w:p>
        </w:tc>
        <w:tc>
          <w:tcPr>
            <w:tcW w:type="dxa" w:w="3115"/>
          </w:tcPr>
          <w:p>
            <w:pPr>
              <w:pStyle w:val="null5"/>
              <w:jc w:val="left"/>
            </w:pPr>
            <w:r>
              <w:rPr>
                <w:rFonts w:ascii="仿宋_GB2312" w:hAnsi="仿宋_GB2312" w:cs="仿宋_GB2312" w:eastAsia="仿宋_GB2312"/>
              </w:rPr>
              <w:t>投标人根据本项目需求及工期要求，提供实施方法、分工安排、进度计划、人员配置、供货、安装调试、联网方案、试运行等方面的整体实施方案，由评委根据方案的科学性、完整性、合理性、可行性、规范性等进行横 向比较与评价，科学、合理可行、针对性强的得3-5分，基本合理可行的得1-3分，欠合理可行的得0-1分 。</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智慧水站方案</w:t>
            </w:r>
          </w:p>
        </w:tc>
        <w:tc>
          <w:tcPr>
            <w:tcW w:type="dxa" w:w="3115"/>
          </w:tcPr>
          <w:p>
            <w:pPr>
              <w:pStyle w:val="null5"/>
              <w:jc w:val="left"/>
            </w:pPr>
            <w:r>
              <w:rPr>
                <w:rFonts w:ascii="仿宋_GB2312" w:hAnsi="仿宋_GB2312" w:cs="仿宋_GB2312" w:eastAsia="仿宋_GB2312"/>
              </w:rPr>
              <w:t>投标人根据招标文件智慧水站的技术要求，提供智慧站房、多维度质控、站点健康度状态、关键过程参数、全要素运维管理等方面进行阐述，由评委根据方案从架构、可实施性、实际应用效果等方面进行评价。（1）方案架构科学合理，可实施性强，实际应用效果好的，4-6分；（2）方案架构一般，可实施性一般，实际应用效果一般的，2-4分；（3）方案阐述不清晰，可实施性差的0-2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售后服务及培训方案</w:t>
            </w:r>
          </w:p>
        </w:tc>
        <w:tc>
          <w:tcPr>
            <w:tcW w:type="dxa" w:w="3115"/>
          </w:tcPr>
          <w:p>
            <w:pPr>
              <w:pStyle w:val="null5"/>
              <w:jc w:val="left"/>
            </w:pPr>
            <w:r>
              <w:rPr>
                <w:rFonts w:ascii="仿宋_GB2312" w:hAnsi="仿宋_GB2312" w:cs="仿宋_GB2312" w:eastAsia="仿宋_GB2312"/>
              </w:rPr>
              <w:t>（1）投标供应商售后服务体系及管理制度完整，现场服务保障措施合理得2-3，投标供应商售后服务体系及管理制度完整，现场服务保障措施基本合理得1-2，投标供应商售后服务体系及管理制度完整，现场服务保障措施一般得0-1。 （2）提供操作培训和维护培训及提供其他形式培训，培训方案包含培训计划、培训方式、培训内容、培训目标、培训团队等情况方案明确、表述完整、可操作性强得2-3分；情况方案基本明确、表述基本完整、可操作性较强得1-2分；情况方案一般明确、表述一般完整、可操作性一般得0-1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投标人业绩</w:t>
            </w:r>
          </w:p>
        </w:tc>
        <w:tc>
          <w:tcPr>
            <w:tcW w:type="dxa" w:w="3115"/>
          </w:tcPr>
          <w:p>
            <w:pPr>
              <w:pStyle w:val="null5"/>
              <w:jc w:val="left"/>
            </w:pPr>
            <w:r>
              <w:rPr>
                <w:rFonts w:ascii="仿宋_GB2312" w:hAnsi="仿宋_GB2312" w:cs="仿宋_GB2312" w:eastAsia="仿宋_GB2312"/>
              </w:rPr>
              <w:t>1.投标人自2018年1月1日至今单个合同完成过同类监测参数20座以上（包含20座）的水质自动监测站的建设、改造业绩得6分；单个合同完成10-19座（包含10座）水质自动监测站的建设、改造业绩得4分；单个合同完成1-9座（包含9座）水质自动监测站的建设、改造业绩得2分。（须提供合同复印件及中标通知书，未按要求提供的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人员配置</w:t>
            </w:r>
          </w:p>
        </w:tc>
        <w:tc>
          <w:tcPr>
            <w:tcW w:type="dxa" w:w="3115"/>
          </w:tcPr>
          <w:p>
            <w:pPr>
              <w:pStyle w:val="null5"/>
              <w:jc w:val="left"/>
            </w:pPr>
            <w:r>
              <w:rPr>
                <w:rFonts w:ascii="仿宋_GB2312" w:hAnsi="仿宋_GB2312" w:cs="仿宋_GB2312" w:eastAsia="仿宋_GB2312"/>
              </w:rPr>
              <w:t>1.项目负责人具有生态环境监测专业高级职称的，正高级得3分，副高级得2分，最高得3分；2.项目组成员每增加1名环保相关中级职称人员，得0.5分；最高得2分。 需提供以上人员职称证书及社保部门出具的2024年4月至投标截止时间止连续6个月的投标人为其缴纳的社保缴费证明，未提供或提供不齐全均不得分。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