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E8B28">
      <w:pPr>
        <w:spacing w:before="176" w:line="225" w:lineRule="auto"/>
        <w:jc w:val="center"/>
        <w:outlineLvl w:val="0"/>
        <w:rPr>
          <w:rFonts w:ascii="宋体" w:hAnsi="宋体" w:eastAsia="宋体" w:cs="宋体"/>
          <w:b/>
          <w:bCs/>
          <w:spacing w:val="6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6"/>
          <w:sz w:val="36"/>
          <w:szCs w:val="36"/>
        </w:rPr>
        <w:t>磴口县第二幼儿园</w:t>
      </w:r>
      <w:r>
        <w:rPr>
          <w:rFonts w:ascii="宋体" w:hAnsi="宋体" w:eastAsia="宋体" w:cs="宋体"/>
          <w:b/>
          <w:bCs/>
          <w:spacing w:val="6"/>
          <w:sz w:val="36"/>
          <w:szCs w:val="36"/>
        </w:rPr>
        <w:t>户外原生态自主游戏区域</w:t>
      </w: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设施设备采购</w:t>
      </w:r>
      <w:r>
        <w:rPr>
          <w:rFonts w:ascii="宋体" w:hAnsi="宋体" w:eastAsia="宋体" w:cs="宋体"/>
          <w:b/>
          <w:bCs/>
          <w:spacing w:val="6"/>
          <w:sz w:val="36"/>
          <w:szCs w:val="36"/>
        </w:rPr>
        <w:t>项目</w:t>
      </w:r>
    </w:p>
    <w:p w14:paraId="79040F3B">
      <w:pPr>
        <w:spacing w:before="176" w:line="225" w:lineRule="auto"/>
        <w:jc w:val="center"/>
        <w:outlineLvl w:val="0"/>
        <w:rPr>
          <w:rFonts w:ascii="宋体" w:hAnsi="宋体" w:eastAsia="宋体" w:cs="宋体"/>
          <w:b/>
          <w:bCs/>
          <w:spacing w:val="6"/>
          <w:sz w:val="36"/>
          <w:szCs w:val="36"/>
        </w:rPr>
      </w:pPr>
    </w:p>
    <w:p w14:paraId="07390AE7">
      <w:pPr>
        <w:spacing w:line="14" w:lineRule="exact"/>
      </w:pPr>
    </w:p>
    <w:tbl>
      <w:tblPr>
        <w:tblStyle w:val="4"/>
        <w:tblW w:w="148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2507"/>
        <w:gridCol w:w="690"/>
        <w:gridCol w:w="705"/>
        <w:gridCol w:w="885"/>
        <w:gridCol w:w="915"/>
        <w:gridCol w:w="8480"/>
      </w:tblGrid>
      <w:tr w14:paraId="6FA01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19338C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74C649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产品名称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41939A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0B639B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238518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6EB2A4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8480" w:type="dxa"/>
            <w:tcBorders>
              <w:tl2br w:val="nil"/>
              <w:tr2bl w:val="nil"/>
            </w:tcBorders>
            <w:vAlign w:val="center"/>
          </w:tcPr>
          <w:p w14:paraId="3D282A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技术</w:t>
            </w:r>
            <w:r>
              <w:rPr>
                <w:rFonts w:hint="eastAsia"/>
              </w:rPr>
              <w:t>参数</w:t>
            </w:r>
          </w:p>
        </w:tc>
      </w:tr>
      <w:tr w14:paraId="72060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23A360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4B2BFA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大型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机械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挖方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部分破碎、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人工平整场地、种植土回填（厚度40cm）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677947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平米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0C421B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835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8E820B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0D3B525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1463F1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大型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机械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挖方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部分破碎、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人工平整场地、种植土回填（厚度40cm）</w:t>
            </w:r>
          </w:p>
        </w:tc>
      </w:tr>
      <w:tr w14:paraId="35502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02A98E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476965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户外生态绿化改造——人工种植及铺设草皮+人工布管及滴灌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021A60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平米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2B538E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646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0DAB11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72D0859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2248CC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草皮品种：美国早熟禾/四季青。</w:t>
            </w:r>
          </w:p>
          <w:p w14:paraId="20B15F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大型机械+种植土回填+人工种植及铺设草皮+人工平整场地+人工清理杂草杂荜及灌木+垃圾清运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。</w:t>
            </w:r>
          </w:p>
        </w:tc>
      </w:tr>
      <w:tr w14:paraId="44704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4D8046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05FB85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幼儿溪戏水渠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506F81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2BD211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4B0E6E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51BE7F2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1B35B8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00*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*55cm</w:t>
            </w:r>
          </w:p>
          <w:p w14:paraId="0740F6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地面开槽下挖（深度90cm）、机械及人工平整场 地、水泥沙浆石子垫层（厚度 6cm）、水泥砌筑 （厚度20cm）、高分子防水涂料，四个增压水泵，表面粘高抛雨花石，造景石。</w:t>
            </w:r>
          </w:p>
        </w:tc>
      </w:tr>
      <w:tr w14:paraId="21BB9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201D07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C56CF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户外玩沙区——异形沙池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35F0C5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4ECD6E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7867F27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614B7F2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2F471D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直径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米，深度50cm</w:t>
            </w:r>
          </w:p>
          <w:p w14:paraId="56E64E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地面开槽下挖（深度90cm），机械及人工平整场地，水泥 沙浆石子垫层（厚度6cm），水泥砌筑（厚度20cm），外包防腐木，高分子防水涂料，外运水洗塑形沙。</w:t>
            </w:r>
          </w:p>
        </w:tc>
      </w:tr>
      <w:tr w14:paraId="53119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7603E7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BD764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户外红泥池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556725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5455BC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04BF08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15878CA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41660F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直径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米，深度50cm</w:t>
            </w:r>
          </w:p>
          <w:p w14:paraId="7EA0F9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地面开槽下挖（深度90cm），机械及人工平整场地，水泥 沙浆石子垫层（厚度 6cm），水泥砌筑（厚度20cm），外 包防腐木，高分子防水涂料，外运红泥塑形土。</w:t>
            </w:r>
          </w:p>
        </w:tc>
      </w:tr>
      <w:tr w14:paraId="3A73C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7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515CD1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0CDAA1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沙、水、泥三区联动游戏区域衔接亲水木平台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093246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平米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045D8C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7216096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529BA35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29E0D9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约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平米</w:t>
            </w:r>
          </w:p>
          <w:p w14:paraId="0D7ACA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PE聚乙烯塑木；1、绿色环保，可循环再生利用。2、抗裂防老化、抗紫外线。3、防潮防腐，使用寿命长。4、安装方便，施工周期短。5、用于室外，耐高温防火阻燃。6、吸音降噪功能强。7、外观颜色丰富多样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，非常适合北方气候使用。</w:t>
            </w:r>
          </w:p>
        </w:tc>
      </w:tr>
      <w:tr w14:paraId="585DB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71C3A9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FB6DA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户外自然工坊精灵游戏小屋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0B6B74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2CAF95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237FC0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302E191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74E528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规格：12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0*380*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</w:t>
            </w:r>
          </w:p>
          <w:p w14:paraId="5E112E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木+高光耐候环保木蜡油。</w:t>
            </w:r>
          </w:p>
          <w:p w14:paraId="0AAB93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主体规格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： 主立柱： 12*12cm，副立柱：9*12cm，主横梁：9*9cm，副横梁：6*9cm，木支架：6*6cm，实木扶手：8*8cm，木龙骨：5*5cm，实木板材：2.5*9cm。镀锌管主立柱：12*12cm，主横梁：9*9cm，龙骨：6*9cm，围栏立杆及扶手：Φ32*1.5mm，镀锌管壁厚：2.5mm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整体加工成型后经除油、除锈、中和、磷化、钝化、抛丸等前处理,表面经酸洗、除油、磷化、抛光后用塑粉进行双层喷涂处理。喷涂经过电脑烤房高温固化后，使其表面光滑、抗紫外线、抗锈能力、色彩鲜艳、不易脱落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。防腐木（原木）为自然色，产品整体经人工机械精细打磨处理，经过 高光耐候环保木蜡油处理，四底四面，表面光滑。无飞边 毛刺，经倒圆角处理，木质本身不易开裂变形翘皮，趣味 性强，非常适合北方气候使用。</w:t>
            </w:r>
          </w:p>
        </w:tc>
      </w:tr>
      <w:tr w14:paraId="0EA50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6142DB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AA9E8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原生态微地形地貌游戏钻洞</w:t>
            </w:r>
          </w:p>
          <w:p w14:paraId="3604AE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【连绵起伏】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7ACEC6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2A74E3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1DAB66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5B14D4C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76AD44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1500*600*150cm</w:t>
            </w:r>
          </w:p>
          <w:p w14:paraId="0C6091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人工平整场地+砖混砌筑+304不锈钢+表面覆盖EPDM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彩色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塑胶颗粒【厚度1.3cm，环保新国标】微地形钻洞规格：Φ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0cm，高100cm；Φ2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0cm，高80cm；</w:t>
            </w:r>
          </w:p>
          <w:p w14:paraId="6C8F67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Φ1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0cm，高60cm；不锈钢钻洞：Φ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cm，长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</w:t>
            </w:r>
          </w:p>
        </w:tc>
      </w:tr>
      <w:tr w14:paraId="06AB9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3D4005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1FD4D7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多材质感官田园路径</w:t>
            </w:r>
          </w:p>
          <w:p w14:paraId="746CEF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【鹅卵石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拼花路面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，实木栈道、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拱形铺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砖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面，理石汀步，小脚丫卡通汀步、彩色轮胎等】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090A3B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延米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475814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339564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109DF5E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2DEE3B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2200cm*80cm</w:t>
            </w:r>
          </w:p>
          <w:p w14:paraId="7F49EC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地面开槽下挖（深度40cm）、平整场地、水泥沙</w:t>
            </w:r>
          </w:p>
          <w:p w14:paraId="25B190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浆垫层（厚度6cm）、红砖水泥砌筑（厚度35cm）、实木栈道（厚度3cm）、彩色轮胎直径：60cm</w:t>
            </w:r>
          </w:p>
        </w:tc>
      </w:tr>
      <w:tr w14:paraId="05C6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6ABAF5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24435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户外低结构综合体能锻炼游戏区域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4A0478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04C9B6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2BFC00D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627A88A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11E471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规格:钢丝滑索：1500cm（含双面滑索圆木支架，圆木直径12cm）;平衡木200*15cm;绳索荡桥:420*120*110cm;云梯300*120*130cm;实木吊环:长380cm;单双杠:长240*160cm;拱形桥:280*95*120cm;梅花桩: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25cm*高30cm;独木桥:420*20cm;</w:t>
            </w:r>
          </w:p>
          <w:p w14:paraId="318745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木+高光耐候环保木蜡油。</w:t>
            </w:r>
          </w:p>
          <w:p w14:paraId="79FF42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防腐芬兰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（原木）为自然色，产品整体经人工机械精细打磨处理，经过高光耐候环保木蜡油处理，四底四面，表面光滑。无飞边毛刺，经倒圆角处理，木质本身不易开裂变形翘皮，趣味性强，非常适合北方气候使用。所有绳索均为航空航海钢丝缆绳。榫接部分采用环保白乳胶做加固处理，环保要求：醛释放≤1.5mg/L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塑料件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采用食品级LLDPE工程塑料，颜色：仿木色，经造粒工艺将颜料完全溶入颗粒中、磨粉机加工、滚塑工艺成型，工程塑料滚塑壁厚6mm以上，色彩艳丽，渗入抗紫外线、防静电及防脱色元素，安全、环保、不易老化。</w:t>
            </w:r>
          </w:p>
          <w:p w14:paraId="2AB4AB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产品功能及功效：可通过不断的攀、爬、钻、抓、滑等动 作训练孩子的速度、力量、平衡、调等综合素质，同时在 游戏中可以让孩子充分发挥活力和想象力，培养孩子勇于 冒险、不断战胜困难坚韧不拔的性格特点，最终让孩子们 在成长中游戏，在游戏中成长。</w:t>
            </w:r>
          </w:p>
          <w:p w14:paraId="5F2CD6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▲1.提供由专业检测机构出具，木材、主立柱、平台、塑料件、连接件、附件钢管，脚盘，不锈钢螺丝温度湿度组合循环试验（试验时间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≥200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小时），符合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GB/T2423.34-2024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标准的检测报告扫描件佐证； </w:t>
            </w:r>
          </w:p>
          <w:p w14:paraId="79E954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▲2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、需提供由专业检测机构出具，产品所用塑料原材料（粒子）中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DBP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BBP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DEHP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DNOP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DINP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DIDP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增塑剂含量符合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GB6675.1-2014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标准、可迁移元素（包含砷，钡，镉，铬，锑，铅，汞，硒）含量符合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GB6675.4-2014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标准的检测报告扫描件佐证。 </w:t>
            </w:r>
          </w:p>
          <w:p w14:paraId="732ED6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▲3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、需提供由专业检测机构出具，产品所用色母中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DBP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BBP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DEHP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DNOP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DINP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DIDP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增塑剂含量符合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GB6675.1-2014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标准、可迁移元素（包含砷，钡，镉，铬，锑，铅，汞，硒）含量符合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GB6675.4-2014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标准的检测报告扫描件佐证。 </w:t>
            </w:r>
          </w:p>
          <w:p w14:paraId="3928A2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▲4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、需提供由专业检测机构出具，产品所用塑粉中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DBP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BBP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DEHP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DNOP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DINP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DIDP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增塑剂含量符合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GB6675.1-2014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标准、可迁移元素（包含砷，钡，镉，铬，锑，铅，汞，硒）含量符合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GB6675.4-2014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标准的检测报告扫描件佐证； </w:t>
            </w:r>
          </w:p>
          <w:p w14:paraId="25FF25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▲5.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提供专业检测机构出具，产品所用油漆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VOC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含量低于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300g/L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、总铅含量低于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90mg/kg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、可溶性重金属（镉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≤75mg/kg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、铬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≤60mg/kg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、汞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≤60mg/kg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）、乙二醇醚及醚酯总和含量低于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300mg/kg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、苯系物（苯、甲苯与二甲苯）总和含量低于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250mg/kg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、游离二异氰酸酯总和含量低于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0.2%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项多环芳香烃总和含量低于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200mg/kg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，符合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GB18581-2020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标准的检测报告扫描件佐证。 </w:t>
            </w:r>
          </w:p>
          <w:p w14:paraId="0E24B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val="en-US" w:eastAsia="en-US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▲6.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提供由专业检测机构出具，产品所用五金件中八大重金属（包含砷，钡，镉，铬，锑，铅，汞，硒）含量符合</w:t>
            </w: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>GB6675.4-2014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标准的检测报告扫描件佐证。</w:t>
            </w:r>
          </w:p>
        </w:tc>
      </w:tr>
      <w:tr w14:paraId="621F62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2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70B7D5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4930E3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户外生活体验区——烟火人家（手工操作台、置物架、收纳柜、洗漱池、仿古灶台、烧烤架、仿古石磨、仿古水井、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仿古吊炉、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茅草屋、农家小院、休闲桌椅）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5FEA10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09D1CB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2A4E291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2C3A704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2C7997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850*330*220cm</w:t>
            </w:r>
          </w:p>
          <w:p w14:paraId="55C031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木+高光耐候环保木蜡油。</w:t>
            </w:r>
          </w:p>
          <w:p w14:paraId="33B1DE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主体规格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：主立柱：15*15cm，副立柱：12*12cm ，主横梁：9*12cm，副横梁：9*9cm，木支架：6*9cm，实木扶手：6*9cm，木龙骨：5*5cm，实木板材：2.5*9cm。镀锌管主立柱：12*12cm，主横梁：9*9cm，龙骨：6*9cm，围栏立杆及扶手：Φ32*1.5mm，镀锌管壁厚：2.5mm，镀锌管表 面喷涂船舶专用漆（氟碳漆）三底三面。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防腐芬兰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木（原木）为自然色，产品整体经人工机械精细打磨处理，经过高光耐候环保木蜡油处理，四底四面，表面光滑。无飞边毛刺，经倒圆角处理，木质本身不易开裂变形翘皮，趣味  性强，非常适合北方气候使用。所有绳索均为航空航海钢丝缆绳。榫接部分采用环保白乳胶做加固处理，环保要求：醛释放≤1.5mg/L 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塑料件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采用食品级LLDPE工程塑料，颜色：仿木色，经造粒工艺将颜料完全溶入颗粒中、磨粉机加工、滚塑工艺成型，工程塑料滚塑壁厚6mm以上，色彩艳丽，渗入抗紫外线、防静电及防脱色元素，安全、环保、不易老化。</w:t>
            </w:r>
          </w:p>
          <w:p w14:paraId="1FDDEA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产品功能及功效：可通过不断的攀、爬、钻、抓、滑等动作训练孩子的速度、力量、平衡、调等综合素质，同时在 游戏中可以让孩子充分发挥活力和想象力，培养孩子勇于 冒险、不断战胜困难坚韧不拔的性格特点，最终让孩子们 在成长中游戏，在游戏中成长。</w:t>
            </w:r>
          </w:p>
        </w:tc>
      </w:tr>
      <w:tr w14:paraId="70693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56395E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80CE7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户外写生创作游戏区域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34737E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3851AD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3CFAE2C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0C1E7AD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548BFC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写生画架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50*48*90cm）2组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、异形梅花桩坐凳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20cm，高20cm）8只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光影五彩小屋（320*320*260cm）作品展示架（400*220*38cm）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；涂鸦长廊（370*155*200cm）</w:t>
            </w:r>
          </w:p>
          <w:p w14:paraId="719CC4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木+高光耐候环保木蜡油。</w:t>
            </w:r>
          </w:p>
          <w:p w14:paraId="176569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主体规格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：主立柱：12*12cm，主横梁：9*9cm，</w:t>
            </w:r>
          </w:p>
          <w:p w14:paraId="42EFEC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木龙骨：6*6cm，实木板材规格：2.5*9cm。</w:t>
            </w:r>
          </w:p>
          <w:p w14:paraId="49CA1E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5ED8D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081666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4C36F1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户外涂鸦彩绘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长廊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099046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3050A1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30904AF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6E03865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45D14F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规格：570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*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160*220cm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，</w:t>
            </w:r>
          </w:p>
          <w:p w14:paraId="3BC6D7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木+高光耐候环保木蜡油+多宝格收纳阁+自动循环冲洗设备+透明亚克力板+涂鸦黑白板及材料。实木板材规格：2.5*9cm。</w:t>
            </w:r>
          </w:p>
          <w:p w14:paraId="433E50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002EE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00A221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DF197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户外打击乐器艺术墙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4364DB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3BC117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46BC38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141B49E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6169DA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规格：530*35*200cm</w:t>
            </w:r>
          </w:p>
          <w:p w14:paraId="4B9A4C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墙面背板材质：防腐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木+高光耐候环保木蜡油+户外打击乐器。实木板材规格：2.5*9cm。</w:t>
            </w:r>
          </w:p>
          <w:p w14:paraId="47F48F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39F0F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44AA43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538B3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户外休闲洗漱收纳区【含实木防雨防晒棚+多宝格收纳阁（收纳雨衣、雨靴、玩沙玩水工具材料等）+洗手池+冲脚台+实木桌椅】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135031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66E29F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36C4FDF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3C03731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106719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650*400*320cm</w:t>
            </w:r>
          </w:p>
          <w:p w14:paraId="27FC66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产品材质：防腐木+高光耐候环保木蜡油+茅 草屋顶。</w:t>
            </w:r>
          </w:p>
          <w:p w14:paraId="1E1A03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主体规格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：主立柱：12*12cm，主横梁：9*9cm，</w:t>
            </w:r>
          </w:p>
          <w:p w14:paraId="47892E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木龙骨支架：6*6cm，实木板材规格：2.5*9cm。</w:t>
            </w:r>
          </w:p>
          <w:p w14:paraId="3CC65A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0497B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0C36E8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106600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沙水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泥三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区茅草遮阳棚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376D1F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组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092FF4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4D0796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5BE7D5F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22CA84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Φ2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0cm，高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cm；Φ2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0cm，高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0cm</w:t>
            </w:r>
          </w:p>
          <w:p w14:paraId="196DC7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木+高光耐候环保木蜡油+茅草屋顶。</w:t>
            </w:r>
          </w:p>
          <w:p w14:paraId="6F9068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主体规格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圆木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立柱：20*20cm，木龙骨支架：9*9cm，实木板材规格：2.5*9cm。</w:t>
            </w:r>
          </w:p>
          <w:p w14:paraId="32F980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07D13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4D58C0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1DC8A7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多功能沙池架（含玩沙、挖沙、运沙游戏工具设备及材料）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7ACABE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套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7997AF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9C604A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488F06A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0D756E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规格：1500*230*320cm</w:t>
            </w:r>
          </w:p>
          <w:p w14:paraId="7DB91A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墙面背板材质：防腐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木+高光耐候环保木蜡油+玩沙、挖沙、运沙游戏工具设备及材料。实木木龙骨支架规格：6*6cm，实木板材规格：2.5*9cm。</w:t>
            </w:r>
          </w:p>
          <w:p w14:paraId="4755E9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5B545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432464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66EAC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户外萌宠区——【松鼠跑道笼+动物木屋+实木围栏+实木造型门+动物喂食棚】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0B2A20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682A13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E58674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5809EAF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4C3FF9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产品材质：防腐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芬兰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木+高光耐候环保木蜡油+沥青瓦片+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茅草屋顶+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透明亚克力板。</w:t>
            </w:r>
          </w:p>
          <w:p w14:paraId="4CA015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主体规格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：主立柱：9*9cm，主横梁：6*9cm，木龙骨支架：6*6cm，实木板材规格：2.5*9cm。松鼠跑道笼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长24m，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Φ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30cm；羊圈：300*200*200cm；兔笼：460*270*200cm；喂食槽：220*60*200cm，2套；实木围栏：3150*120cm；羊圈实木围栏：1400*160cm；实木造型大门：200*220cm；实木造型小门：200*140cm。</w:t>
            </w:r>
          </w:p>
          <w:p w14:paraId="3C24B5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产品各部件无贯通裂缝，结构连接处和主受力连接部件无死节、无腐朽，无空洞表面光滑，无鼓泡、龟裂、裂纹，表面无毛刺、无棱角，裸露部分全部为圆角，整体设计合理。</w:t>
            </w:r>
          </w:p>
        </w:tc>
      </w:tr>
      <w:tr w14:paraId="3B595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665" w:type="dxa"/>
            <w:tcBorders>
              <w:tl2br w:val="nil"/>
              <w:tr2bl w:val="nil"/>
            </w:tcBorders>
            <w:vAlign w:val="center"/>
          </w:tcPr>
          <w:p w14:paraId="5AB39C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00958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14:paraId="6686FB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14:paraId="5DA18E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baseline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931D86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 w14:paraId="6C6A246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80" w:type="dxa"/>
            <w:tcBorders>
              <w:tl2br w:val="nil"/>
              <w:tr2bl w:val="nil"/>
            </w:tcBorders>
            <w:vAlign w:val="top"/>
          </w:tcPr>
          <w:p w14:paraId="5181F0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tLeast"/>
              <w:textAlignment w:val="baseline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</w:tr>
    </w:tbl>
    <w:p w14:paraId="35376AF7">
      <w:pPr>
        <w:rPr>
          <w:rFonts w:ascii="Arial"/>
          <w:sz w:val="21"/>
        </w:rPr>
      </w:pPr>
    </w:p>
    <w:p w14:paraId="23D7977F">
      <w:pPr>
        <w:rPr>
          <w:rFonts w:ascii="Arial"/>
          <w:sz w:val="21"/>
        </w:rPr>
      </w:pPr>
      <w:bookmarkStart w:id="0" w:name="_GoBack"/>
      <w:bookmarkEnd w:id="0"/>
    </w:p>
    <w:sectPr>
      <w:headerReference r:id="rId5" w:type="default"/>
      <w:pgSz w:w="16836" w:h="11905" w:orient="landscape"/>
      <w:pgMar w:top="1417" w:right="1417" w:bottom="1417" w:left="141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347E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EzMDUwMzMyNzE3YzA3NTllYWQ0YmExZThiZTM0OWUifQ=="/>
  </w:docVars>
  <w:rsids>
    <w:rsidRoot w:val="00000000"/>
    <w:rsid w:val="03012F73"/>
    <w:rsid w:val="09046E2D"/>
    <w:rsid w:val="13696D03"/>
    <w:rsid w:val="1DA177EA"/>
    <w:rsid w:val="1E8C5BDB"/>
    <w:rsid w:val="1F817EB6"/>
    <w:rsid w:val="1FE36810"/>
    <w:rsid w:val="21913AD0"/>
    <w:rsid w:val="29B11D74"/>
    <w:rsid w:val="40142D3B"/>
    <w:rsid w:val="41EB65FC"/>
    <w:rsid w:val="4899496E"/>
    <w:rsid w:val="4E7E09D4"/>
    <w:rsid w:val="54C166D0"/>
    <w:rsid w:val="572340D7"/>
    <w:rsid w:val="65976415"/>
    <w:rsid w:val="76A359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4"/>
      <w:szCs w:val="14"/>
      <w:lang w:val="en-US" w:eastAsia="en-US" w:bidi="ar-SA"/>
    </w:rPr>
  </w:style>
  <w:style w:type="character" w:customStyle="1" w:styleId="6">
    <w:name w:val="NormalCharacter"/>
    <w:link w:val="7"/>
    <w:semiHidden/>
    <w:qFormat/>
    <w:uiPriority w:val="0"/>
    <w:rPr>
      <w:rFonts w:ascii="宋体" w:hAnsi="宋体" w:eastAsia="等线"/>
      <w:sz w:val="24"/>
      <w:szCs w:val="24"/>
    </w:rPr>
  </w:style>
  <w:style w:type="paragraph" w:customStyle="1" w:styleId="7">
    <w:name w:val="正文1"/>
    <w:basedOn w:val="8"/>
    <w:next w:val="10"/>
    <w:link w:val="6"/>
    <w:qFormat/>
    <w:uiPriority w:val="0"/>
    <w:pPr>
      <w:spacing w:line="360" w:lineRule="auto"/>
      <w:ind w:firstLine="361"/>
    </w:pPr>
    <w:rPr>
      <w:rFonts w:ascii="宋体" w:hAnsi="宋体" w:eastAsia="等线"/>
      <w:sz w:val="24"/>
      <w:szCs w:val="24"/>
    </w:rPr>
  </w:style>
  <w:style w:type="paragraph" w:customStyle="1" w:styleId="8">
    <w:name w:val="正文11"/>
    <w:next w:val="9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sz w:val="21"/>
      <w:szCs w:val="24"/>
      <w:lang w:val="en-US" w:eastAsia="zh-CN" w:bidi="ar-SA"/>
    </w:rPr>
  </w:style>
  <w:style w:type="paragraph" w:customStyle="1" w:styleId="9">
    <w:name w:val="目录 11"/>
    <w:basedOn w:val="7"/>
    <w:next w:val="8"/>
    <w:qFormat/>
    <w:uiPriority w:val="0"/>
    <w:pPr>
      <w:widowControl/>
      <w:spacing w:after="100" w:line="259" w:lineRule="auto"/>
      <w:jc w:val="left"/>
    </w:pPr>
    <w:rPr>
      <w:rFonts w:ascii="Calibri" w:hAnsi="Calibri"/>
      <w:sz w:val="22"/>
      <w:szCs w:val="22"/>
    </w:rPr>
  </w:style>
  <w:style w:type="paragraph" w:customStyle="1" w:styleId="10">
    <w:name w:val="脚注文本1"/>
    <w:basedOn w:val="11"/>
    <w:next w:val="17"/>
    <w:qFormat/>
    <w:uiPriority w:val="0"/>
    <w:pPr>
      <w:jc w:val="left"/>
    </w:pPr>
    <w:rPr>
      <w:sz w:val="18"/>
      <w:szCs w:val="24"/>
    </w:rPr>
  </w:style>
  <w:style w:type="paragraph" w:customStyle="1" w:styleId="11">
    <w:name w:val="正文111"/>
    <w:next w:val="12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sz w:val="21"/>
      <w:szCs w:val="24"/>
      <w:lang w:val="en-US" w:eastAsia="zh-CN" w:bidi="ar-SA"/>
    </w:rPr>
  </w:style>
  <w:style w:type="paragraph" w:customStyle="1" w:styleId="12">
    <w:name w:val="正文首行缩进 211"/>
    <w:basedOn w:val="13"/>
    <w:next w:val="11"/>
    <w:qFormat/>
    <w:uiPriority w:val="0"/>
    <w:pPr>
      <w:ind w:firstLine="420"/>
    </w:pPr>
    <w:rPr>
      <w:sz w:val="24"/>
    </w:rPr>
  </w:style>
  <w:style w:type="paragraph" w:customStyle="1" w:styleId="13">
    <w:name w:val="正文文本缩进11"/>
    <w:basedOn w:val="14"/>
    <w:next w:val="16"/>
    <w:qFormat/>
    <w:uiPriority w:val="0"/>
    <w:pPr>
      <w:ind w:firstLine="538"/>
    </w:pPr>
    <w:rPr>
      <w:sz w:val="28"/>
    </w:rPr>
  </w:style>
  <w:style w:type="paragraph" w:customStyle="1" w:styleId="14">
    <w:name w:val="正文112"/>
    <w:next w:val="15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sz w:val="21"/>
      <w:szCs w:val="24"/>
      <w:lang w:val="en-US" w:eastAsia="zh-CN" w:bidi="ar-SA"/>
    </w:rPr>
  </w:style>
  <w:style w:type="paragraph" w:customStyle="1" w:styleId="15">
    <w:name w:val="正文文本2"/>
    <w:basedOn w:val="14"/>
    <w:next w:val="14"/>
    <w:qFormat/>
    <w:uiPriority w:val="0"/>
    <w:pPr>
      <w:spacing w:after="120"/>
    </w:pPr>
    <w:rPr>
      <w:rFonts w:ascii="Calibri"/>
    </w:rPr>
  </w:style>
  <w:style w:type="paragraph" w:customStyle="1" w:styleId="16">
    <w:name w:val="寄信人地址1"/>
    <w:basedOn w:val="8"/>
    <w:qFormat/>
    <w:uiPriority w:val="0"/>
    <w:rPr>
      <w:rFonts w:ascii="Arial" w:hAnsi="Arial"/>
    </w:rPr>
  </w:style>
  <w:style w:type="paragraph" w:customStyle="1" w:styleId="17">
    <w:name w:val="索引 51"/>
    <w:basedOn w:val="11"/>
    <w:next w:val="7"/>
    <w:qFormat/>
    <w:uiPriority w:val="0"/>
    <w:pPr>
      <w:ind w:left="798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4332</Words>
  <Characters>5218</Characters>
  <TotalTime>4</TotalTime>
  <ScaleCrop>false</ScaleCrop>
  <LinksUpToDate>false</LinksUpToDate>
  <CharactersWithSpaces>5243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2025-05-19T19:03:00Z</dcterms:created>
  <dc:creator>11111</dc:creator>
  <cp:lastModifiedBy>Administrator</cp:lastModifiedBy>
  <dcterms:modified xsi:type="dcterms:W3CDTF">2025-07-11T09:04:32Z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2025-06-23T08:59:21Z</vt:filetime>
  </property>
  <property fmtid="{D5CDD505-2E9C-101B-9397-08002B2CF9AE}" pid="4" name="KSOProductBuildVer">
    <vt:lpwstr>2052-12.1.0.21915</vt:lpwstr>
  </property>
  <property fmtid="{D5CDD505-2E9C-101B-9397-08002B2CF9AE}" pid="5" name="ICV">
    <vt:lpwstr>EC58B18D332D4321A02965E4B017D349_13</vt:lpwstr>
  </property>
  <property fmtid="{D5CDD505-2E9C-101B-9397-08002B2CF9AE}" pid="6" name="KSOTemplateDocerSaveRecord">
    <vt:lpwstr>eyJoZGlkIjoiMzQ2OGRhNWZmNTYwZGFmYjJmMzBjYjEzOWZkNDc4M2IiLCJ1c2VySWQiOiI0NjI5OTI4NzMifQ==</vt:lpwstr>
  </property>
</Properties>
</file>