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乌拉特中旗温更镇阿拉腾呼少嘎查二狼山白绒山羊养殖联户经营项目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乌拉特中旗温更镇人民政府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内蒙古晨途项目管理有限公司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BSZCZQS-C-G-250004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内蒙古晨途项目管理有限公司</w:t>
      </w:r>
      <w:r>
        <w:rPr>
          <w:rFonts w:ascii="仿宋_GB2312" w:hAnsi="仿宋_GB2312" w:cs="仿宋_GB2312" w:eastAsia="仿宋_GB2312"/>
        </w:rPr>
        <w:t xml:space="preserve"> 受 </w:t>
      </w:r>
      <w:r>
        <w:rPr>
          <w:rFonts w:ascii="仿宋_GB2312" w:hAnsi="仿宋_GB2312" w:cs="仿宋_GB2312" w:eastAsia="仿宋_GB2312"/>
        </w:rPr>
        <w:t>乌拉特中旗温更镇人民政府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乌拉特中旗温更镇阿拉腾呼少嘎查二狼山白绒山羊养殖联户经营项目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乌拉特中旗温更镇阿拉腾呼少嘎查二狼山白绒山羊养殖联户经营项目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BSZCZQS-C-G-250004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乌中政采计划[2025]00151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1,249,957.00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乌拉特中旗温更镇阿拉腾呼少嘎查二狼山白绒山羊养殖联户经营项目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1,249,957.00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要求：投标人需具有建设行政主管部门颁发的[建筑工程]施工总承包乙级（含乙级）及其以上资质的施工企业，且证书在有效期内（以上资质为住建部最新资质要求：建市[2020]94号文件《住房和城乡建设部关于印发建设工程企业资质管理制度改革方案的通知》）；根据建办市〔2021〕30号文件《住房和城乡建设部办公厅关于做好建筑业“证照分离”改革衔接有关工作的通知》的要求，如投标人还未申办以上资质，则投标人需具有建设行政主管部门颁发的[建筑工程]施工总承包叁级(含叁级）及其以上资质的施工企业并同时具有建设行政主管部门核发的有效期内的安全生产许可证。</w:t>
      </w:r>
    </w:p>
    <w:p>
      <w:pPr>
        <w:pStyle w:val="null5"/>
        <w:jc w:val="left"/>
      </w:pPr>
      <w:r>
        <w:rPr>
          <w:rFonts w:ascii="仿宋_GB2312" w:hAnsi="仿宋_GB2312" w:cs="仿宋_GB2312" w:eastAsia="仿宋_GB2312"/>
        </w:rPr>
        <w:t>2、项目经理：承担本项目的项目经理应具备[建筑工程专业]二级（含）及以上注册建造师执业资格，具备有效的安全生产考核合格证书，且不得担任其他在建项目的项目经理。 注：1、提供递交响应文件截止之日近一年内至少1个月及其以上的依法缴纳社保缴费证明，如有其它情况不能提供社保证明的，须提供相关有效证明材料。2、未担任其他在施建设工程项目的项目经理承诺函（格式自拟）。</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内蒙古晨途项目管理有限公司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巴彦淖尔市临河区文景国际北区北门303</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15504888374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乌拉特中旗温更镇人民政府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乌拉特中旗温更镇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015300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高娃</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13948983455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代理服务费收费标准：参照内工建协【2022】34号文件规定收取。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采购包1保证金金额：20,000.00元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乌拉特中旗温更镇人民政府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内蒙古晨途项目管理有限公司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新建200平米暖棚，200平米活动圈舍及相配套的设施设备。（具体内容详见工程量清单）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合同签订之日起90日历天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乌拉特中旗温更镇境内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1、具体事项，合同中约定，达到付款条件起15日，支付合同总金额的30.00%</w:t>
            </w:r>
          </w:p>
          <w:p>
            <w:pPr>
              <w:pStyle w:val="null5"/>
              <w:jc w:val="left"/>
            </w:pPr>
            <w:r>
              <w:rPr>
                <w:rFonts w:ascii="仿宋_GB2312" w:hAnsi="仿宋_GB2312" w:cs="仿宋_GB2312" w:eastAsia="仿宋_GB2312"/>
              </w:rPr>
              <w:t>2、具体事项，合同中约定，达到付款条件起15日，支付合同总金额的30.00%</w:t>
            </w:r>
          </w:p>
          <w:p>
            <w:pPr>
              <w:pStyle w:val="null5"/>
              <w:jc w:val="left"/>
            </w:pPr>
            <w:r>
              <w:rPr>
                <w:rFonts w:ascii="仿宋_GB2312" w:hAnsi="仿宋_GB2312" w:cs="仿宋_GB2312" w:eastAsia="仿宋_GB2312"/>
              </w:rPr>
              <w:t>3、具体事项，合同中约定，达到付款条件起15日，支付合同总金额的40.00%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标的名称：乌拉特中旗温更镇阿拉腾呼少嘎查二狼山白绒山羊养殖联户经营项目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具体详见工程量清单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投标人需具有建设行政主管部门颁发的[建筑工程]施工总承包乙级（含乙级）及其以上资质的施工企业，且证书在有效期内（以上资质为住建部最新资质要求：建市[2020]94号文件《住房和城乡建设部关于印发建设工程企业资质管理制度改革方案的通知》）；根据建办市〔2021〕30号文件《住房和城乡建设部办公厅关于做好建筑业“证照分离”改革衔接有关工作的通知》的要求，如投标人还未申办以上资质，则投标人需具有建设行政主管部门颁发的[建筑工程]施工总承包叁级(含叁级）及其以上资质的施工企业并同时具有建设行政主管部门核发的有效期内的安全生产许可证。</w:t>
            </w:r>
          </w:p>
        </w:tc>
      </w:tr>
      <w:tr>
        <w:tc>
          <w:tcPr>
            <w:tcW w:type="dxa" w:w="3322"/>
          </w:tcPr>
          <w:p>
            <w:pPr>
              <w:pStyle w:val="null5"/>
              <w:jc w:val="left"/>
            </w:pPr>
            <w:r>
              <w:rPr>
                <w:rFonts w:ascii="仿宋_GB2312" w:hAnsi="仿宋_GB2312" w:cs="仿宋_GB2312" w:eastAsia="仿宋_GB2312"/>
              </w:rPr>
              <w:t>项目经理</w:t>
            </w:r>
          </w:p>
        </w:tc>
        <w:tc>
          <w:tcPr>
            <w:tcW w:type="dxa" w:w="4984"/>
          </w:tcPr>
          <w:p>
            <w:pPr>
              <w:pStyle w:val="null5"/>
              <w:jc w:val="left"/>
            </w:pPr>
            <w:r>
              <w:rPr>
                <w:rFonts w:ascii="仿宋_GB2312" w:hAnsi="仿宋_GB2312" w:cs="仿宋_GB2312" w:eastAsia="仿宋_GB2312"/>
              </w:rPr>
              <w:t>承担本项目的项目经理应具备[建筑工程专业]二级（含）及以上注册建造师执业资格，具备有效的安全生产考核合格证书，且不得担任其他在建项目的项目经理。 注：1、提供递交响应文件截止之日近一年内至少1个月及其以上的依法缴纳社保缴费证明，如有其它情况不能提供社保证明的，须提供相关有效证明材料。2、未担任其他在施建设工程项目的项目经理承诺函（格式自拟）。</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w:t>
            </w:r>
          </w:p>
        </w:tc>
        <w:tc>
          <w:tcPr>
            <w:tcW w:type="dxa" w:w="3115"/>
          </w:tcPr>
          <w:p>
            <w:pPr>
              <w:pStyle w:val="null5"/>
              <w:jc w:val="left"/>
            </w:pPr>
            <w:r>
              <w:rPr>
                <w:rFonts w:ascii="仿宋_GB2312" w:hAnsi="仿宋_GB2312" w:cs="仿宋_GB2312" w:eastAsia="仿宋_GB2312"/>
              </w:rPr>
              <w:t>供应商提供的方案总体编制内容应符合本工程特点，施工技术措施完善:有针对性地提出了工程可能出现质量通病部位和处理对策:现场管理措施符合实际情况。根据以上要求从：①方案编制内容；②拟投入劳动力；③主要施工机械；④主要施工技术方法；⑤材料供应保障措施，5个方面进行评审，每有一项最多得4分，每一项内容存在缺陷的最多扣1 分，本项最多得20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施工进度计划与保障措施</w:t>
            </w:r>
          </w:p>
        </w:tc>
        <w:tc>
          <w:tcPr>
            <w:tcW w:type="dxa" w:w="3115"/>
          </w:tcPr>
          <w:p>
            <w:pPr>
              <w:pStyle w:val="null5"/>
              <w:jc w:val="left"/>
            </w:pPr>
            <w:r>
              <w:rPr>
                <w:rFonts w:ascii="仿宋_GB2312" w:hAnsi="仿宋_GB2312" w:cs="仿宋_GB2312" w:eastAsia="仿宋_GB2312"/>
              </w:rPr>
              <w:t>根据供应商提供的施工进度计划与保证措施，从：①施工进度计划表；②详细的进度计划；③主要工序衔接度；④进度保障措施，4个方面进行评审，每有一项最多得2分，每一项内容存在缺陷的最多扣1分，本项最多得8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施工季节、施工重点难点解决方案</w:t>
            </w:r>
          </w:p>
        </w:tc>
        <w:tc>
          <w:tcPr>
            <w:tcW w:type="dxa" w:w="3115"/>
          </w:tcPr>
          <w:p>
            <w:pPr>
              <w:pStyle w:val="null5"/>
              <w:jc w:val="left"/>
            </w:pPr>
            <w:r>
              <w:rPr>
                <w:rFonts w:ascii="仿宋_GB2312" w:hAnsi="仿宋_GB2312" w:cs="仿宋_GB2312" w:eastAsia="仿宋_GB2312"/>
              </w:rPr>
              <w:t>考量施工季节和施工重点难点，从：①工程关键点控制方案；②针对冬季施工保障措施；③重点、难点解决方案，3个方面进行评审，每有一项最多得3分，每一项内容存在缺陷的最多扣2分，本项最多得9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质量管理措施</w:t>
            </w:r>
          </w:p>
        </w:tc>
        <w:tc>
          <w:tcPr>
            <w:tcW w:type="dxa" w:w="3115"/>
          </w:tcPr>
          <w:p>
            <w:pPr>
              <w:pStyle w:val="null5"/>
              <w:jc w:val="left"/>
            </w:pPr>
            <w:r>
              <w:rPr>
                <w:rFonts w:ascii="仿宋_GB2312" w:hAnsi="仿宋_GB2312" w:cs="仿宋_GB2312" w:eastAsia="仿宋_GB2312"/>
              </w:rPr>
              <w:t>根据供应商提供的质量管理措施，从：①质量目标；②质量管理体系设置；③质量保证措施；④质量通病解决措施，4个方面进行评审，每有一项最多得2分，每一项内容存在缺陷的最多扣1分，本项最多得8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现场文明施工、消防、环保以及保卫方案</w:t>
            </w:r>
          </w:p>
        </w:tc>
        <w:tc>
          <w:tcPr>
            <w:tcW w:type="dxa" w:w="3115"/>
          </w:tcPr>
          <w:p>
            <w:pPr>
              <w:pStyle w:val="null5"/>
              <w:jc w:val="left"/>
            </w:pPr>
            <w:r>
              <w:rPr>
                <w:rFonts w:ascii="仿宋_GB2312" w:hAnsi="仿宋_GB2312" w:cs="仿宋_GB2312" w:eastAsia="仿宋_GB2312"/>
              </w:rPr>
              <w:t>根据供应商提供的现场文明施工、消防、环保以及保卫方案从①文明施工措施②消防措施③环境保护管理体系措施④保卫措施4个方面进行评审，每有一项最多得2分，每一项内容存在缺陷的最多扣1分，本项最多得8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应急管理保障措施</w:t>
            </w:r>
          </w:p>
        </w:tc>
        <w:tc>
          <w:tcPr>
            <w:tcW w:type="dxa" w:w="3115"/>
          </w:tcPr>
          <w:p>
            <w:pPr>
              <w:pStyle w:val="null5"/>
              <w:jc w:val="left"/>
            </w:pPr>
            <w:r>
              <w:rPr>
                <w:rFonts w:ascii="仿宋_GB2312" w:hAnsi="仿宋_GB2312" w:cs="仿宋_GB2312" w:eastAsia="仿宋_GB2312"/>
              </w:rPr>
              <w:t>根据供应商提供的应急管理保障措施，从：①突发事件应对；②应急保障措施，2个方面进行评审，每有一项最多得2分，每一项内容存在缺陷的最多扣1分，本项最多得4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安全生产文明措施</w:t>
            </w:r>
          </w:p>
        </w:tc>
        <w:tc>
          <w:tcPr>
            <w:tcW w:type="dxa" w:w="3115"/>
          </w:tcPr>
          <w:p>
            <w:pPr>
              <w:pStyle w:val="null5"/>
              <w:jc w:val="left"/>
            </w:pPr>
            <w:r>
              <w:rPr>
                <w:rFonts w:ascii="仿宋_GB2312" w:hAnsi="仿宋_GB2312" w:cs="仿宋_GB2312" w:eastAsia="仿宋_GB2312"/>
              </w:rPr>
              <w:t>据供应商提供的安全生产文明措施，从：①安全生产目标；②安全管理体系；③设置安全隐患；④施工现场安全控制措施，4个方面进行评审，每有一项最多得2分，每一项内容存在缺陷的最多扣1分，本项最多得8分，未提供不得分。（缺陷是指：非专门针对本项目、不适用项目实际情形、内容不完整、缺少关键节点只有简单描述无实质性内容、套用其它项目方案、内容前后矛盾、涉及的规范及标准错误、不利于项目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投标人近三年（2022年01月01日至投标截止之日，以合同签订时间为准）具有建筑类的施工业绩；每有1项得2分，最多得6分。 注:需提供中标通知书或合同协议书原件扫描件。未提供不得分。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项目管理机构配置</w:t>
            </w:r>
          </w:p>
        </w:tc>
        <w:tc>
          <w:tcPr>
            <w:tcW w:type="dxa" w:w="3115"/>
          </w:tcPr>
          <w:p>
            <w:pPr>
              <w:pStyle w:val="null5"/>
              <w:jc w:val="left"/>
            </w:pPr>
            <w:r>
              <w:rPr>
                <w:rFonts w:ascii="仿宋_GB2312" w:hAnsi="仿宋_GB2312" w:cs="仿宋_GB2312" w:eastAsia="仿宋_GB2312"/>
              </w:rPr>
              <w:t>项目管理机构配置齐全（技术负责人（建筑工程相关专业中级（含中级）及以上技术职称）、施工员、质检员（质量员）、安全员，每配备1人得2分，资料员每配备1人得1分）一共得9分。 注：需提供以上人员岗位证或职业培训合格证，安全员C类安全生产考核合格证，技术负责人需提供职称证，所有证书需要原件扫描件。上述人员均须提供递交响应文件截止之日近一年内至少1个月及其以上的依法缴纳社保缴费证明，如有其它情况不能提供社保证明的，须提供相关有效证明材料。未提供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