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乌拉特中旗洁源污水处理有限公司2025年污水处理药剂采购项目(二次)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乌拉特中旗住房和城乡建设局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内蒙古建荣工程项目管理有限公司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BSZCZQS-G-H-250001-1</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内蒙古建荣工程项目管理有限公司</w:t>
      </w:r>
      <w:r>
        <w:rPr>
          <w:rFonts w:ascii="仿宋_GB2312" w:hAnsi="仿宋_GB2312" w:cs="仿宋_GB2312" w:eastAsia="仿宋_GB2312"/>
        </w:rPr>
        <w:t xml:space="preserve"> 受 </w:t>
      </w:r>
      <w:r>
        <w:rPr>
          <w:rFonts w:ascii="仿宋_GB2312" w:hAnsi="仿宋_GB2312" w:cs="仿宋_GB2312" w:eastAsia="仿宋_GB2312"/>
        </w:rPr>
        <w:t>乌拉特中旗住房和城乡建设局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乌拉特中旗洁源污水处理有限公司2025年污水处理药剂采购项目(二次)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乌拉特中旗洁源污水处理有限公司2025年污水处理药剂采购项目(二次)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BSZCZQS-G-H-250001-1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乌中政采计划[2025]00024</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665,000.00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生石灰</w:t>
            </w:r>
          </w:p>
        </w:tc>
        <w:tc>
          <w:tcPr>
            <w:tcW w:type="dxa" w:w="831"/>
          </w:tcPr>
          <w:p>
            <w:pPr>
              <w:pStyle w:val="null5"/>
              <w:jc w:val="right"/>
            </w:pPr>
            <w:r>
              <w:rPr>
                <w:rFonts w:ascii="仿宋_GB2312" w:hAnsi="仿宋_GB2312" w:cs="仿宋_GB2312" w:eastAsia="仿宋_GB2312"/>
              </w:rPr>
              <w:t>1,000.00</w:t>
            </w:r>
          </w:p>
        </w:tc>
        <w:tc>
          <w:tcPr>
            <w:tcW w:type="dxa" w:w="831"/>
          </w:tcPr>
          <w:p>
            <w:pPr>
              <w:pStyle w:val="null5"/>
              <w:jc w:val="right"/>
            </w:pPr>
            <w:r>
              <w:rPr>
                <w:rFonts w:ascii="仿宋_GB2312" w:hAnsi="仿宋_GB2312" w:cs="仿宋_GB2312" w:eastAsia="仿宋_GB2312"/>
              </w:rPr>
              <w:t>665,000.00</w:t>
            </w:r>
          </w:p>
        </w:tc>
        <w:tc>
          <w:tcPr>
            <w:tcW w:type="dxa" w:w="831"/>
          </w:tcPr>
          <w:p>
            <w:pPr>
              <w:pStyle w:val="null5"/>
              <w:jc w:val="left"/>
            </w:pPr>
            <w:r>
              <w:rPr>
                <w:rFonts w:ascii="仿宋_GB2312" w:hAnsi="仿宋_GB2312" w:cs="仿宋_GB2312" w:eastAsia="仿宋_GB2312"/>
              </w:rPr>
              <w:t>吨</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内蒙古建荣工程项目管理有限公司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内蒙古自治区巴彦淖尔市临河区利民西街便民市场一楼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015000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潘海浪</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16604789333</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乌拉特中旗住房和城乡建设局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海流图镇</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015300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金鑫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18947349446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代理服务费收费标准：按中标价的1.5%收取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采购包1保证金金额：90,000.00元</w:t>
            </w:r>
          </w:p>
          <w:p>
            <w:pPr>
              <w:pStyle w:val="null5"/>
              <w:jc w:val="left"/>
            </w:pPr>
            <w:r>
              <w:rPr>
                <w:rFonts w:ascii="仿宋_GB2312" w:hAnsi="仿宋_GB2312" w:cs="仿宋_GB2312" w:eastAsia="仿宋_GB2312"/>
              </w:rPr>
              <w:t>采购包2保证金金额：13,000.00元</w:t>
            </w:r>
          </w:p>
          <w:p>
            <w:pPr>
              <w:pStyle w:val="null5"/>
              <w:jc w:val="left"/>
            </w:pPr>
            <w:r>
              <w:rPr>
                <w:rFonts w:ascii="仿宋_GB2312" w:hAnsi="仿宋_GB2312" w:cs="仿宋_GB2312" w:eastAsia="仿宋_GB2312"/>
              </w:rPr>
              <w:t>采购包3保证金金额：2,000.00元</w:t>
            </w:r>
          </w:p>
          <w:p>
            <w:pPr>
              <w:pStyle w:val="null5"/>
              <w:jc w:val="left"/>
            </w:pPr>
            <w:r>
              <w:rPr>
                <w:rFonts w:ascii="仿宋_GB2312" w:hAnsi="仿宋_GB2312" w:cs="仿宋_GB2312" w:eastAsia="仿宋_GB2312"/>
              </w:rPr>
              <w:t>缴交渠道：虚拟保证金,电子保函</w:t>
            </w:r>
          </w:p>
          <w:p>
            <w:pPr>
              <w:pStyle w:val="null5"/>
              <w:jc w:val="left"/>
            </w:pPr>
            <w:r>
              <w:rPr>
                <w:rFonts w:ascii="仿宋_GB2312" w:hAnsi="仿宋_GB2312" w:cs="仿宋_GB2312" w:eastAsia="仿宋_GB2312"/>
              </w:rPr>
              <w:t xml:space="preserve"> 其他说明：</w:t>
            </w:r>
          </w:p>
          <w:p>
            <w:pPr>
              <w:pStyle w:val="null5"/>
              <w:jc w:val="left"/>
            </w:pPr>
            <w:r>
              <w:rPr>
                <w:rFonts w:ascii="仿宋_GB2312" w:hAnsi="仿宋_GB2312" w:cs="仿宋_GB2312" w:eastAsia="仿宋_GB2312"/>
              </w:rPr>
              <w:t xml:space="preserve"> 1、缴纳截止时间为本项目投标（报价）截止时间，以保证金账户实际收款为准；</w:t>
            </w:r>
          </w:p>
          <w:p>
            <w:pPr>
              <w:pStyle w:val="null5"/>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1、投标文件: 中标成交供应商需提供纸质版投标文件3份，正本1份，副本2份 2、最高投标限价: 投标报价不得超出预算。 3、投标报价: 包括本项目采购需求和投入使用的所有费用，如主件、标准附件、备品备件、施工、服务、专用工具、安装、系统集成、调试、检验、培训、运输、保险、税款等。 4、药剂使用要求: 供货商提供的药剂需保证我厂所有出水指标稳定达到（G B18918-2002《城镇污水处理厂污染物排放标准》一级A标准，共19项）； 5、使用药剂过程中，在工艺运行正常情况下在线监测设备出现超标现象，按照环保要求对供应商进行处罚（每日10万元）。如连续3天出现超标现象我厂有权解除合同； 6、质保期：4个月；</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乌拉特中旗住房和城乡建设局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内蒙古建荣工程项目管理有限公司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审查投标人2023年度或2024年度经会计师事务所出具的财务审计报告或其基本开户银行出 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1.提供递交投标文件截止之日前一年内（至少一个月）的良好缴纳税收的相关凭据。（以税 务机关提供的纳税凭据或银行入账单为准）2.提供递交响应文件截止之日前一年内（至少一 个月）缴纳社会保险的凭证。（以专用收据或社会保险缴纳清单为准） 注：其他组织和自然 人也需要提供缴纳税收的凭据金额缴纳社保的凭据。依法免税或不需要缴纳社会保障资金的 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审查投标人出具的“具有履行合同所必须的设备和专业技术能力”声明。</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到提交投标文件的截止时间，投标人未被列入失信被执行人、重大税收违法失信主体、政府 采购严重违法失信行为记录名单。以“信用中国”网（www.creditchina.gov.cn） 、中国政 府采购网（www.ccgp.gov.cn） 网站查询结果为准。</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采购碳源、除磷剂、聚丙烯酰胺、生石灰、消毒液等污水处理药剂。</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合同签订后，分批次、每次招标人发出供货通知5日内交货</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采购人明确的地点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1、按资金到位情况支付，具体事项合同中约定。，达到付款条件起30日，支付合同总金额的25.00%</w:t>
            </w:r>
          </w:p>
          <w:p>
            <w:pPr>
              <w:pStyle w:val="null5"/>
              <w:jc w:val="left"/>
            </w:pPr>
            <w:r>
              <w:rPr>
                <w:rFonts w:ascii="仿宋_GB2312" w:hAnsi="仿宋_GB2312" w:cs="仿宋_GB2312" w:eastAsia="仿宋_GB2312"/>
              </w:rPr>
              <w:t>2、按资金到位情况支付，具体事项合同中约定。，达到付款条件起30日，支付合同总金额的25.00%</w:t>
            </w:r>
          </w:p>
          <w:p>
            <w:pPr>
              <w:pStyle w:val="null5"/>
              <w:jc w:val="left"/>
            </w:pPr>
            <w:r>
              <w:rPr>
                <w:rFonts w:ascii="仿宋_GB2312" w:hAnsi="仿宋_GB2312" w:cs="仿宋_GB2312" w:eastAsia="仿宋_GB2312"/>
              </w:rPr>
              <w:t>3、按资金到位情况支付，具体事项合同中约定。，达到付款条件起30日，支付合同总金额的25.00%</w:t>
            </w:r>
          </w:p>
          <w:p>
            <w:pPr>
              <w:pStyle w:val="null5"/>
              <w:jc w:val="left"/>
            </w:pPr>
            <w:r>
              <w:rPr>
                <w:rFonts w:ascii="仿宋_GB2312" w:hAnsi="仿宋_GB2312" w:cs="仿宋_GB2312" w:eastAsia="仿宋_GB2312"/>
              </w:rPr>
              <w:t>4、按资金到位情况支付，具体事项合同中约定。，达到付款条件起30日，支付合同总金额的25.00%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标的名称：生石灰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100目-200目 氧化钙≥80% 在处理污泥过程中干化处理，处理过的污泥实现再利用价值</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技术部分59.00分</w:t>
            </w:r>
          </w:p>
          <w:p>
            <w:pPr>
              <w:pStyle w:val="null5"/>
              <w:jc w:val="left"/>
            </w:pPr>
            <w:r>
              <w:rPr>
                <w:rFonts w:ascii="仿宋_GB2312" w:hAnsi="仿宋_GB2312" w:cs="仿宋_GB2312" w:eastAsia="仿宋_GB2312"/>
              </w:rPr>
              <w:t>商务部分11.00分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总体供货方案</w:t>
            </w:r>
          </w:p>
        </w:tc>
        <w:tc>
          <w:tcPr>
            <w:tcW w:type="dxa" w:w="3115"/>
          </w:tcPr>
          <w:p>
            <w:pPr>
              <w:pStyle w:val="null5"/>
              <w:jc w:val="left"/>
            </w:pPr>
            <w:r>
              <w:rPr>
                <w:rFonts w:ascii="仿宋_GB2312" w:hAnsi="仿宋_GB2312" w:cs="仿宋_GB2312" w:eastAsia="仿宋_GB2312"/>
              </w:rPr>
              <w:t>1、根据总体供货方案可行性措施完善切实可行、具有明确供货方案得6分； 2、总体供货方案可行性措施较完善切实可行、具有供货方案的得4分； 3、总体供货方案可行性措施供货方案欠缺的得2分； 4、未提供的得0分。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对产品参数的响应性</w:t>
            </w:r>
          </w:p>
        </w:tc>
        <w:tc>
          <w:tcPr>
            <w:tcW w:type="dxa" w:w="3115"/>
          </w:tcPr>
          <w:p>
            <w:pPr>
              <w:pStyle w:val="null5"/>
              <w:jc w:val="left"/>
            </w:pPr>
            <w:r>
              <w:rPr>
                <w:rFonts w:ascii="仿宋_GB2312" w:hAnsi="仿宋_GB2312" w:cs="仿宋_GB2312" w:eastAsia="仿宋_GB2312"/>
              </w:rPr>
              <w:t>技术指标满足招标文件中参数要求的得3分，优于招标文件实质性要求的 ( 指投标人产品检测报告值优于招标文件技术指标最高或最低限值，招标文件技术指标为区间值的除外）。每有1项加0.5分，本项最高得5分。（提供第三方检测报告原件扫描件附于投标文件中，否则不得分）。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对突发性事件的应急措施</w:t>
            </w:r>
          </w:p>
        </w:tc>
        <w:tc>
          <w:tcPr>
            <w:tcW w:type="dxa" w:w="3115"/>
          </w:tcPr>
          <w:p>
            <w:pPr>
              <w:pStyle w:val="null5"/>
              <w:jc w:val="left"/>
            </w:pPr>
            <w:r>
              <w:rPr>
                <w:rFonts w:ascii="仿宋_GB2312" w:hAnsi="仿宋_GB2312" w:cs="仿宋_GB2312" w:eastAsia="仿宋_GB2312"/>
              </w:rPr>
              <w:t>1、根据投标人针对突发应急情况是否能及时制定科学有效的服务方案并快速响应进行打分，服务方案科学合理可行并快速响应得6分； 2、服务方案较科学较合理较可行但响应时间过长得4分； 3、服务方案基本科学合理可行得2分； 4、表述粗略不清、不可行或不提供的不得分。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供货周期保证措施</w:t>
            </w:r>
          </w:p>
        </w:tc>
        <w:tc>
          <w:tcPr>
            <w:tcW w:type="dxa" w:w="3115"/>
          </w:tcPr>
          <w:p>
            <w:pPr>
              <w:pStyle w:val="null5"/>
              <w:jc w:val="left"/>
            </w:pPr>
            <w:r>
              <w:rPr>
                <w:rFonts w:ascii="仿宋_GB2312" w:hAnsi="仿宋_GB2312" w:cs="仿宋_GB2312" w:eastAsia="仿宋_GB2312"/>
              </w:rPr>
              <w:t>1、措施完善切实可行、对供货周期有充分保障的得6分； 2、措施较完善对供货周期有保障的得4分； 3、措施欠缺、对供货周期有简单保障的得2分； 4、未提供的得0分。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卸货操作流程</w:t>
            </w:r>
          </w:p>
        </w:tc>
        <w:tc>
          <w:tcPr>
            <w:tcW w:type="dxa" w:w="3115"/>
          </w:tcPr>
          <w:p>
            <w:pPr>
              <w:pStyle w:val="null5"/>
              <w:jc w:val="left"/>
            </w:pPr>
            <w:r>
              <w:rPr>
                <w:rFonts w:ascii="仿宋_GB2312" w:hAnsi="仿宋_GB2312" w:cs="仿宋_GB2312" w:eastAsia="仿宋_GB2312"/>
              </w:rPr>
              <w:t>1、方案合理且有针对性、专业可行、有充分保障的得6分； 2、方案较全面、合理可行，有保障的得4分； 3、方案内容简单，保障措施不完善的得2分； 4、未提供的得0分。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运输方案的安全性和应急管理能力</w:t>
            </w:r>
          </w:p>
        </w:tc>
        <w:tc>
          <w:tcPr>
            <w:tcW w:type="dxa" w:w="3115"/>
          </w:tcPr>
          <w:p>
            <w:pPr>
              <w:pStyle w:val="null5"/>
              <w:jc w:val="left"/>
            </w:pPr>
            <w:r>
              <w:rPr>
                <w:rFonts w:ascii="仿宋_GB2312" w:hAnsi="仿宋_GB2312" w:cs="仿宋_GB2312" w:eastAsia="仿宋_GB2312"/>
              </w:rPr>
              <w:t>投标单位配送药剂车辆安排及调运系统完善，物流跟踪及反馈信息措施良好，且具有自己的仓库以备不时。1、方案不少于以上内容，且完全符合项目采购需求，得6分；2、内容较为详细，且基本满足采购需求，得4分；3、内容简单，不满足采购需求，得2分；4、未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货物的包装、发运方案</w:t>
            </w:r>
          </w:p>
        </w:tc>
        <w:tc>
          <w:tcPr>
            <w:tcW w:type="dxa" w:w="3115"/>
          </w:tcPr>
          <w:p>
            <w:pPr>
              <w:pStyle w:val="null5"/>
              <w:jc w:val="left"/>
            </w:pPr>
            <w:r>
              <w:rPr>
                <w:rFonts w:ascii="仿宋_GB2312" w:hAnsi="仿宋_GB2312" w:cs="仿宋_GB2312" w:eastAsia="仿宋_GB2312"/>
              </w:rPr>
              <w:t>1、货物包装、发运方案合理且有针对性、专业可行、全面且详细的得6分;2、货物包装、发运方案较全面、合理可行的得4分；3、货物包装、发运方案欠缺的得2分；4、未提供的得0分。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根据售后服务体系、管理制度（包括：技术咨询、技术保障、质保期后售后方案等）；服务承诺；售后机构、售后服务的响应时间（24小时热线响应以及2小时内到达现场）以及配置的人员、设备等：1、合理且有针对性、全面且详细、专业可行、清晰规范、有效响应及处理故障，且具有售后服务承诺函的得6分；2、较全面、合理可行、清晰规范的得4分；3、 响应时间不及时，体系制度不完善的得2分；4、未提供的得0分。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药剂管理制度及环境</w:t>
            </w:r>
          </w:p>
        </w:tc>
        <w:tc>
          <w:tcPr>
            <w:tcW w:type="dxa" w:w="3115"/>
          </w:tcPr>
          <w:p>
            <w:pPr>
              <w:pStyle w:val="null5"/>
              <w:jc w:val="left"/>
            </w:pPr>
            <w:r>
              <w:rPr>
                <w:rFonts w:ascii="仿宋_GB2312" w:hAnsi="仿宋_GB2312" w:cs="仿宋_GB2312" w:eastAsia="仿宋_GB2312"/>
              </w:rPr>
              <w:t>1、供应商提供的本单位药剂管理制度、药剂安全经营规章制度健全完善，仓储场所消防、预防中毒等设施及措施极具针对性，内容全面且详细，具备高度专业性与可行性，整体呈现清晰规范，完全契合本项目对于药剂管理的严苛要求得6分。 2、供应商提供的药剂管理制度、药剂安全经营规章制度相对完善，仓储场所消防、预防中毒等设施及措施有一定针对性，内容较为详细，具有一定的专业性与可行性，整体较为清晰规范，基本符合本项目药剂管理的需求得4分。 3、供应商提供的药剂管理制度、药剂安全经营规章制度不够完善，仓储场所消防、预防中毒等设施及措施针对性不足，内容简略，专业性、可行性欠佳，呈现不够清晰规范，仅部分满足本项目药剂管理的基本要求得2分。 4、供应商未提供药剂管理制度、药剂安全经营规章制度，以及仓储场所消防、预防中毒等设施及措施相关内容得0分。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人员技术培训</w:t>
            </w:r>
          </w:p>
        </w:tc>
        <w:tc>
          <w:tcPr>
            <w:tcW w:type="dxa" w:w="3115"/>
          </w:tcPr>
          <w:p>
            <w:pPr>
              <w:pStyle w:val="null5"/>
              <w:jc w:val="left"/>
            </w:pPr>
            <w:r>
              <w:rPr>
                <w:rFonts w:ascii="仿宋_GB2312" w:hAnsi="仿宋_GB2312" w:cs="仿宋_GB2312" w:eastAsia="仿宋_GB2312"/>
              </w:rPr>
              <w:t>1、供应商针对污水处理药剂制定的技术培训方案完善且全面。培训内容深入且精准，涵盖药剂特性、使用方法、安全注意事项、应急处理等各关键方面；培训方式多样，包括理论讲解、实操演示、案例分析等，能充分满足不同学员的学习需求；培训师资力量雄厚，授课人员均具备丰富的行业经验与专业知识；培训计划安排合理，时间充足、节奏适宜。整体方案对提升我方人员污水处理药剂使用技术水平具有显著的推动作用，完全符合项目技术培训要求得6分。 2、污水处理药剂技术培训方案具备一定的完整性。培训内容能覆盖药剂使用的主要方面，培训方式较为实用，以理论结合实操为主，培训师资具备相应的专业背景，培训计划基本合理。虽在某些方面存在优化空间，但整体能满足项目技术培训的基本需求，有助于提升我方人员对污水处理药剂的操作技能得4分。 3、污水处理药剂技术培训方案不够完善。培训内容简略，仅涉及部分关键要点，培训方式单一，多为理论讲解，缺乏实操指导；培训师资的专业性难以充分保障；培训计划存在明显缺陷，时间安排仓促或不合理。该方案仅能在有限程度上满足项目技术培训的基本要求，对提升我方人员技术水平的作用有限得2分。 4、供应商未提供任何与污水处理药剂技术培训相关的方案或内容得0分。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自2023年1月1日至今实施的同类项目，同类项目是指水处理药剂相关业务，每项得2分;本项最多得8分。须提供项目的中标通知书或合同原件扫描件，原件扫描件附于投标文件中，否则不得分。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员工职业工种证</w:t>
            </w:r>
          </w:p>
        </w:tc>
        <w:tc>
          <w:tcPr>
            <w:tcW w:type="dxa" w:w="3115"/>
          </w:tcPr>
          <w:p>
            <w:pPr>
              <w:pStyle w:val="null5"/>
              <w:jc w:val="left"/>
            </w:pPr>
            <w:r>
              <w:rPr>
                <w:rFonts w:ascii="仿宋_GB2312" w:hAnsi="仿宋_GB2312" w:cs="仿宋_GB2312" w:eastAsia="仿宋_GB2312"/>
              </w:rPr>
              <w:t>供应商具有员工职业工种证的每一个证得1分，最多得3分。（注：提供相关职业工种证）</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