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33781">
      <w:pPr>
        <w:widowControl/>
        <w:jc w:val="center"/>
        <w:rPr>
          <w:rFonts w:hint="eastAsia" w:ascii="等线" w:hAnsi="等线" w:eastAsia="等线" w:cs="宋体"/>
          <w:b/>
          <w:bCs/>
          <w:kern w:val="0"/>
          <w:sz w:val="32"/>
          <w:szCs w:val="32"/>
        </w:rPr>
      </w:pPr>
      <w:r>
        <w:rPr>
          <w:rFonts w:hint="eastAsia" w:ascii="等线" w:hAnsi="等线" w:eastAsia="等线" w:cs="宋体"/>
          <w:b/>
          <w:bCs/>
          <w:kern w:val="0"/>
          <w:sz w:val="32"/>
          <w:szCs w:val="32"/>
        </w:rPr>
        <w:t>乌拉特中旗医共体平台建设二期参数</w:t>
      </w:r>
    </w:p>
    <w:p w14:paraId="2D854E1E">
      <w:pPr>
        <w:widowControl/>
        <w:rPr>
          <w:rFonts w:hint="eastAsia" w:ascii="等线" w:hAnsi="等线" w:eastAsia="等线" w:cs="宋体"/>
          <w:b/>
          <w:bCs/>
          <w:kern w:val="0"/>
          <w:sz w:val="32"/>
          <w:szCs w:val="32"/>
        </w:rPr>
      </w:pPr>
      <w:r>
        <w:rPr>
          <w:rFonts w:hint="eastAsia" w:ascii="黑体" w:hAnsi="黑体" w:eastAsia="黑体" w:cs="黑体"/>
          <w:b/>
          <w:bCs/>
          <w:kern w:val="0"/>
          <w:sz w:val="24"/>
          <w:szCs w:val="24"/>
        </w:rPr>
        <w:t>（一）软件平台参数</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28" w:type="dxa"/>
          <w:bottom w:w="57" w:type="dxa"/>
          <w:right w:w="28" w:type="dxa"/>
        </w:tblCellMar>
      </w:tblPr>
      <w:tblGrid>
        <w:gridCol w:w="523"/>
        <w:gridCol w:w="673"/>
        <w:gridCol w:w="597"/>
        <w:gridCol w:w="1243"/>
        <w:gridCol w:w="464"/>
        <w:gridCol w:w="1656"/>
        <w:gridCol w:w="8858"/>
      </w:tblGrid>
      <w:tr w14:paraId="16EB7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523" w:type="dxa"/>
            <w:vAlign w:val="center"/>
          </w:tcPr>
          <w:p w14:paraId="6E12B135">
            <w:pPr>
              <w:widowControl/>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序号</w:t>
            </w:r>
          </w:p>
        </w:tc>
        <w:tc>
          <w:tcPr>
            <w:tcW w:w="673" w:type="dxa"/>
            <w:vAlign w:val="center"/>
          </w:tcPr>
          <w:p w14:paraId="5E253610">
            <w:pPr>
              <w:widowControl/>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分类</w:t>
            </w:r>
          </w:p>
        </w:tc>
        <w:tc>
          <w:tcPr>
            <w:tcW w:w="597" w:type="dxa"/>
            <w:vAlign w:val="center"/>
          </w:tcPr>
          <w:p w14:paraId="5497EEBC">
            <w:pPr>
              <w:widowControl/>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数量</w:t>
            </w:r>
          </w:p>
        </w:tc>
        <w:tc>
          <w:tcPr>
            <w:tcW w:w="3363" w:type="dxa"/>
            <w:gridSpan w:val="3"/>
            <w:vAlign w:val="center"/>
          </w:tcPr>
          <w:p w14:paraId="63AE83DA">
            <w:pPr>
              <w:widowControl/>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系</w:t>
            </w:r>
            <w:bookmarkStart w:id="4" w:name="_GoBack"/>
            <w:bookmarkEnd w:id="4"/>
            <w:r>
              <w:rPr>
                <w:rFonts w:hint="eastAsia" w:ascii="宋体" w:hAnsi="宋体" w:eastAsia="宋体" w:cs="宋体"/>
                <w:b/>
                <w:bCs/>
                <w:color w:val="auto"/>
                <w:kern w:val="0"/>
                <w:sz w:val="20"/>
                <w:szCs w:val="20"/>
              </w:rPr>
              <w:t>统</w:t>
            </w:r>
          </w:p>
        </w:tc>
        <w:tc>
          <w:tcPr>
            <w:tcW w:w="8858" w:type="dxa"/>
            <w:vAlign w:val="center"/>
          </w:tcPr>
          <w:p w14:paraId="39052F11">
            <w:pPr>
              <w:widowControl/>
              <w:jc w:val="center"/>
              <w:rPr>
                <w:rFonts w:hint="eastAsia" w:ascii="宋体" w:hAnsi="宋体" w:eastAsia="宋体" w:cs="宋体"/>
                <w:b/>
                <w:bCs/>
                <w:color w:val="auto"/>
                <w:kern w:val="0"/>
                <w:sz w:val="20"/>
                <w:szCs w:val="20"/>
              </w:rPr>
            </w:pPr>
            <w:r>
              <w:rPr>
                <w:rFonts w:hint="eastAsia" w:ascii="宋体" w:hAnsi="宋体" w:eastAsia="宋体" w:cs="宋体"/>
                <w:b/>
                <w:bCs/>
                <w:color w:val="auto"/>
                <w:kern w:val="0"/>
                <w:sz w:val="20"/>
                <w:szCs w:val="20"/>
              </w:rPr>
              <w:t>功能参数</w:t>
            </w:r>
          </w:p>
        </w:tc>
      </w:tr>
      <w:tr w14:paraId="5E7A3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trHeight w:val="486" w:hRule="atLeast"/>
          <w:jc w:val="center"/>
        </w:trPr>
        <w:tc>
          <w:tcPr>
            <w:tcW w:w="523" w:type="dxa"/>
            <w:vMerge w:val="restart"/>
            <w:vAlign w:val="center"/>
          </w:tcPr>
          <w:p w14:paraId="621E452B">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673" w:type="dxa"/>
            <w:vMerge w:val="restart"/>
            <w:vAlign w:val="center"/>
          </w:tcPr>
          <w:p w14:paraId="3E506347">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医共体协同工程</w:t>
            </w:r>
          </w:p>
        </w:tc>
        <w:tc>
          <w:tcPr>
            <w:tcW w:w="597" w:type="dxa"/>
            <w:noWrap/>
            <w:vAlign w:val="center"/>
          </w:tcPr>
          <w:p w14:paraId="2CFD80C6">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restart"/>
            <w:noWrap/>
            <w:vAlign w:val="center"/>
          </w:tcPr>
          <w:p w14:paraId="1441E793">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诊疗同质管理</w:t>
            </w:r>
          </w:p>
        </w:tc>
        <w:tc>
          <w:tcPr>
            <w:tcW w:w="464" w:type="dxa"/>
            <w:vAlign w:val="center"/>
          </w:tcPr>
          <w:p w14:paraId="3F5DBC5B">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协同中心</w:t>
            </w:r>
          </w:p>
        </w:tc>
        <w:tc>
          <w:tcPr>
            <w:tcW w:w="1656" w:type="dxa"/>
            <w:noWrap/>
            <w:vAlign w:val="center"/>
          </w:tcPr>
          <w:p w14:paraId="0A0FD39E">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临床检验中心系统</w:t>
            </w:r>
          </w:p>
        </w:tc>
        <w:tc>
          <w:tcPr>
            <w:tcW w:w="8858" w:type="dxa"/>
            <w:vAlign w:val="center"/>
          </w:tcPr>
          <w:p w14:paraId="283802B9">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区域检验中心需支持代理检验模式的应用，代理检验模式是指基层医生或基层医疗机构在自己的工作站上通过医共体平台向中心医院提交检验申请，然后在本地采集标本，通过物流或专业人员配送到上级医院临床检验中心上机，完成标本检验，并由医共体临床检验中心医生完成检验，检验报告通过医共体服务信息平台返回基层或下级医院。</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基础配置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需支持检验字典管理、机构项目管理、号码管理、项目收费协议、报告互认管理、项目对码模式管理等基础配置功能。且区域检验需支持多中心模式，可满足医共体内多个检验中心进行业务协同；</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需支持医共体内检验过程中涉及的条码号、交接单号、报告单号的唯一性。</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区域检验质控管理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区域检验中心可查看各实验室质控情况，包括质控记录、质控统计、质控图等。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检验报告查询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代理检验项目完成检验报告书写之后，通过接口回传到医共体区域检验系统平台，当前登录用户可通过平台对各检验机构出具的检验报告进行查询，支持区域检验报告、历史检验报告查询。</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协同管理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需提供标本状态管理、危急值管理、拒收标本查询、区域检验项目汇总、区域检验项目明细查询等功能。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标本状态管理：需支持协同检验项目的标本状态管理，包括检验申请、标准采集、标本送检、标本签收、报告上传、报告下载等状态流程的全流程查看。</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危急值管理：需实现LIS系统与区域临床检验中心系统与基层HIS系统危急值信息无缝对接，实现患者在区域临床检验中危急值的闭环管理。</w:t>
            </w:r>
          </w:p>
          <w:p w14:paraId="07CD2C75">
            <w:pPr>
              <w:widowControl/>
              <w:jc w:val="left"/>
              <w:rPr>
                <w:rFonts w:ascii="宋体" w:hAnsi="宋体" w:eastAsia="宋体" w:cs="宋体"/>
                <w:b/>
                <w:color w:val="auto"/>
                <w:kern w:val="0"/>
                <w:sz w:val="20"/>
                <w:szCs w:val="20"/>
              </w:rPr>
            </w:pPr>
            <w:r>
              <w:rPr>
                <w:rFonts w:hint="eastAsia" w:ascii="宋体" w:hAnsi="宋体" w:eastAsia="宋体" w:cs="宋体"/>
                <w:b/>
                <w:color w:val="auto"/>
                <w:kern w:val="0"/>
                <w:sz w:val="20"/>
                <w:szCs w:val="20"/>
              </w:rPr>
              <w:t>区域</w:t>
            </w:r>
            <w:r>
              <w:rPr>
                <w:rFonts w:hint="eastAsia" w:ascii="宋体" w:hAnsi="宋体" w:eastAsia="宋体" w:cs="宋体"/>
                <w:b/>
                <w:bCs/>
                <w:color w:val="auto"/>
                <w:kern w:val="0"/>
                <w:sz w:val="20"/>
                <w:szCs w:val="20"/>
              </w:rPr>
              <w:t>检验</w:t>
            </w:r>
            <w:r>
              <w:rPr>
                <w:rFonts w:hint="eastAsia" w:ascii="宋体" w:hAnsi="宋体" w:eastAsia="宋体" w:cs="宋体"/>
                <w:b/>
                <w:color w:val="auto"/>
                <w:kern w:val="0"/>
                <w:sz w:val="20"/>
                <w:szCs w:val="20"/>
              </w:rPr>
              <w:t>首页</w:t>
            </w:r>
          </w:p>
          <w:p w14:paraId="1C35FEBC">
            <w:pPr>
              <w:widowControl/>
              <w:jc w:val="left"/>
              <w:rPr>
                <w:rFonts w:hint="eastAsia"/>
                <w:color w:val="auto"/>
              </w:rPr>
            </w:pPr>
            <w:r>
              <w:rPr>
                <w:rFonts w:hint="eastAsia" w:ascii="宋体" w:hAnsi="宋体" w:eastAsia="宋体" w:cs="宋体"/>
                <w:color w:val="auto"/>
                <w:kern w:val="0"/>
                <w:sz w:val="20"/>
                <w:szCs w:val="20"/>
              </w:rPr>
              <w:t>按机构、日期范围查询区域检验整体概览情况。（需提供软件功能性测试报告）</w:t>
            </w:r>
          </w:p>
        </w:tc>
      </w:tr>
      <w:tr w14:paraId="110DB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12A2A517">
            <w:pPr>
              <w:widowControl/>
              <w:jc w:val="left"/>
              <w:rPr>
                <w:rFonts w:hint="eastAsia" w:ascii="宋体" w:hAnsi="宋体" w:eastAsia="宋体" w:cs="宋体"/>
                <w:color w:val="auto"/>
                <w:kern w:val="0"/>
                <w:sz w:val="20"/>
                <w:szCs w:val="20"/>
              </w:rPr>
            </w:pPr>
          </w:p>
        </w:tc>
        <w:tc>
          <w:tcPr>
            <w:tcW w:w="673" w:type="dxa"/>
            <w:vMerge w:val="continue"/>
            <w:vAlign w:val="center"/>
          </w:tcPr>
          <w:p w14:paraId="04A42A3E">
            <w:pPr>
              <w:widowControl/>
              <w:jc w:val="left"/>
              <w:rPr>
                <w:rFonts w:hint="eastAsia" w:ascii="宋体" w:hAnsi="宋体" w:eastAsia="宋体" w:cs="宋体"/>
                <w:color w:val="auto"/>
                <w:kern w:val="0"/>
                <w:sz w:val="20"/>
                <w:szCs w:val="20"/>
              </w:rPr>
            </w:pPr>
          </w:p>
        </w:tc>
        <w:tc>
          <w:tcPr>
            <w:tcW w:w="597" w:type="dxa"/>
            <w:vAlign w:val="center"/>
          </w:tcPr>
          <w:p w14:paraId="28F5398F">
            <w:pPr>
              <w:widowControl/>
              <w:jc w:val="left"/>
              <w:rPr>
                <w:rFonts w:hint="eastAsia" w:ascii="宋体" w:hAnsi="宋体" w:eastAsia="宋体" w:cs="宋体"/>
                <w:color w:val="auto"/>
                <w:kern w:val="0"/>
                <w:sz w:val="20"/>
                <w:szCs w:val="20"/>
              </w:rPr>
            </w:pPr>
          </w:p>
        </w:tc>
        <w:tc>
          <w:tcPr>
            <w:tcW w:w="1243" w:type="dxa"/>
            <w:vMerge w:val="continue"/>
            <w:vAlign w:val="center"/>
          </w:tcPr>
          <w:p w14:paraId="62ADDCCB">
            <w:pPr>
              <w:widowControl/>
              <w:jc w:val="left"/>
              <w:rPr>
                <w:rFonts w:hint="eastAsia" w:ascii="宋体" w:hAnsi="宋体" w:eastAsia="宋体" w:cs="宋体"/>
                <w:color w:val="auto"/>
                <w:kern w:val="0"/>
                <w:sz w:val="20"/>
                <w:szCs w:val="20"/>
              </w:rPr>
            </w:pPr>
          </w:p>
        </w:tc>
        <w:tc>
          <w:tcPr>
            <w:tcW w:w="464" w:type="dxa"/>
            <w:vMerge w:val="restart"/>
            <w:vAlign w:val="center"/>
          </w:tcPr>
          <w:p w14:paraId="42FC3A47">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卫生资源管理</w:t>
            </w:r>
          </w:p>
        </w:tc>
        <w:tc>
          <w:tcPr>
            <w:tcW w:w="1656" w:type="dxa"/>
            <w:noWrap/>
            <w:vAlign w:val="center"/>
          </w:tcPr>
          <w:p w14:paraId="61548A29">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统一药品管理系统</w:t>
            </w:r>
          </w:p>
        </w:tc>
        <w:tc>
          <w:tcPr>
            <w:tcW w:w="8858" w:type="dxa"/>
            <w:vAlign w:val="center"/>
          </w:tcPr>
          <w:p w14:paraId="034534F8">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与第三方系统对接：包括与医院、基层医疗机构中HIS系统的药品管理对接。接口交互内容包括药品目录、采购管理、调拨管理、库存管理等，其中HIS系统的药品领用、使用等信息仅需要采集到医共体数据中心做综合管理查询。支持与药品采购平台和供应商平台，主要接口对接药品目录、计划订单和配送信息。</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目录管理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药品目录管理需支持医共体内各机构新增/编辑药品目录，由中心医院统一审核后生效。需支持西药中成药目录管理、中草药目录管理、库房目录管理以及药品流转过程中的各个单据号码的规则制定。</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采购管理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支持医共体药品统一采购，包括药品采购审核、药品采购汇总、药品采购计划单等，包含供应商管理、供应商合同管理、计划申请管理、计划管理、药品入库管理、药品退库管理、结算管理等。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医共体内实库采购管理和虚库采购管理两种模式。虚库采购主要用于医共体内无统一库房的情况，当属于“虚库”管理时，不处理“入库管理、退库管理”，其他工作与实库管理一致。包括：计划管理、结算管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调拨管理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实现医共体内，药品的调拨管理，对医共体统一采购的药品支持统一调拨至各成员单位，包括药品调拨单、药品分配单。包含调拨关系管理、申请管理、出库管理、入库管理等功能。</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库存管理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支持对医共体采购的药品进行统一库房、统一库存管理，实现对对药品的目录、采购、使用和监督的全过程管理，包含其他出/入库管理、报损管理、调价管理、盘点管理、月结管理、库存管理等。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综合查询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▲支持对药品集中管理各个环节的数据查询，包含采购计划申请查询、采购计划查询、采购结算查询、库存查询、出库查询、入库查询、调价查询、盘点查询、月结查询等。(要求提供功软件功能截图)。</w:t>
            </w:r>
          </w:p>
        </w:tc>
      </w:tr>
      <w:tr w14:paraId="0F170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56CDBAF7">
            <w:pPr>
              <w:widowControl/>
              <w:jc w:val="left"/>
              <w:rPr>
                <w:rFonts w:hint="eastAsia" w:ascii="宋体" w:hAnsi="宋体" w:eastAsia="宋体" w:cs="宋体"/>
                <w:color w:val="auto"/>
                <w:kern w:val="0"/>
                <w:sz w:val="20"/>
                <w:szCs w:val="20"/>
              </w:rPr>
            </w:pPr>
          </w:p>
        </w:tc>
        <w:tc>
          <w:tcPr>
            <w:tcW w:w="673" w:type="dxa"/>
            <w:vMerge w:val="continue"/>
            <w:vAlign w:val="center"/>
          </w:tcPr>
          <w:p w14:paraId="2D8A6D06">
            <w:pPr>
              <w:widowControl/>
              <w:jc w:val="left"/>
              <w:rPr>
                <w:rFonts w:hint="eastAsia" w:ascii="宋体" w:hAnsi="宋体" w:eastAsia="宋体" w:cs="宋体"/>
                <w:color w:val="auto"/>
                <w:kern w:val="0"/>
                <w:sz w:val="20"/>
                <w:szCs w:val="20"/>
              </w:rPr>
            </w:pPr>
          </w:p>
        </w:tc>
        <w:tc>
          <w:tcPr>
            <w:tcW w:w="597" w:type="dxa"/>
            <w:vAlign w:val="center"/>
          </w:tcPr>
          <w:p w14:paraId="32854A1C">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3E78E039">
            <w:pPr>
              <w:widowControl/>
              <w:jc w:val="left"/>
              <w:rPr>
                <w:rFonts w:hint="eastAsia" w:ascii="宋体" w:hAnsi="宋体" w:eastAsia="宋体" w:cs="宋体"/>
                <w:color w:val="auto"/>
                <w:kern w:val="0"/>
                <w:sz w:val="20"/>
                <w:szCs w:val="20"/>
              </w:rPr>
            </w:pPr>
          </w:p>
        </w:tc>
        <w:tc>
          <w:tcPr>
            <w:tcW w:w="464" w:type="dxa"/>
            <w:vMerge w:val="continue"/>
            <w:vAlign w:val="center"/>
          </w:tcPr>
          <w:p w14:paraId="3E3ED28F">
            <w:pPr>
              <w:widowControl/>
              <w:jc w:val="left"/>
              <w:rPr>
                <w:rFonts w:hint="eastAsia" w:ascii="宋体" w:hAnsi="宋体" w:eastAsia="宋体" w:cs="宋体"/>
                <w:color w:val="auto"/>
                <w:kern w:val="0"/>
                <w:sz w:val="20"/>
                <w:szCs w:val="20"/>
              </w:rPr>
            </w:pPr>
          </w:p>
        </w:tc>
        <w:tc>
          <w:tcPr>
            <w:tcW w:w="1656" w:type="dxa"/>
            <w:noWrap/>
            <w:vAlign w:val="center"/>
          </w:tcPr>
          <w:p w14:paraId="0B20885A">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统一人事管理系统</w:t>
            </w:r>
          </w:p>
        </w:tc>
        <w:tc>
          <w:tcPr>
            <w:tcW w:w="8858" w:type="dxa"/>
            <w:vAlign w:val="center"/>
          </w:tcPr>
          <w:p w14:paraId="7A1B9459">
            <w:pPr>
              <w:widowControl/>
              <w:jc w:val="left"/>
              <w:rPr>
                <w:rFonts w:hint="eastAsia" w:ascii="宋体" w:hAnsi="宋体" w:eastAsia="宋体" w:cs="宋体"/>
                <w:color w:val="auto"/>
                <w:kern w:val="0"/>
                <w:sz w:val="20"/>
                <w:szCs w:val="20"/>
              </w:rPr>
            </w:pPr>
            <w:r>
              <w:rPr>
                <w:rFonts w:hint="eastAsia" w:ascii="宋体" w:hAnsi="宋体" w:eastAsia="宋体" w:cs="宋体"/>
                <w:b/>
                <w:bCs/>
                <w:color w:val="auto"/>
                <w:kern w:val="0"/>
                <w:sz w:val="20"/>
                <w:szCs w:val="20"/>
              </w:rPr>
              <w:t>组织架构管理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支持对医共体内各个组织机构基本信息的维护，支持各机构下部门的基本信息（部门工作性质、诊疗专业、服务范围、简介等）及部门岗位的管理。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招聘管理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支持各机构招聘岗位的发布与管理，建立人才简历库，在各机构有职位需求时，可以快速锁定合适的候选人。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面试管理：支持对预约面试的人员进行查询、打印简历、爽约标记等操作。</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人事管理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支持对医共体内所有医护人员的人事管理，包括对有多点执业资质医师进行统一工作调度管理。包含入职管理、档案管理、档案管理、转正管理、人事异动、合同管理等功能。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档案管理：对医共体内所有医护人员个人信息进行统一注册、管理。支持档案信息自助维护，员工可以用自己的账号登录系统，完善档案信息。</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培训进修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支持对人员的培训进修进行管理，通过培训进修管理，实现培训需求的调研及培训效果评估。包含培训计划、培训记录、培训讲师、进修管理等功能。</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考勤管理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支持对考勤情况的记录，包含请假申请记录、加班申请记录、考勤异常登记、考勤月统计等功能。</w:t>
            </w:r>
          </w:p>
        </w:tc>
      </w:tr>
      <w:tr w14:paraId="04E6A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trHeight w:val="810" w:hRule="atLeast"/>
          <w:jc w:val="center"/>
        </w:trPr>
        <w:tc>
          <w:tcPr>
            <w:tcW w:w="523" w:type="dxa"/>
            <w:vMerge w:val="continue"/>
            <w:vAlign w:val="center"/>
          </w:tcPr>
          <w:p w14:paraId="01A46B13">
            <w:pPr>
              <w:widowControl/>
              <w:jc w:val="left"/>
              <w:rPr>
                <w:rFonts w:hint="eastAsia" w:ascii="宋体" w:hAnsi="宋体" w:eastAsia="宋体" w:cs="宋体"/>
                <w:color w:val="auto"/>
                <w:kern w:val="0"/>
                <w:sz w:val="20"/>
                <w:szCs w:val="20"/>
              </w:rPr>
            </w:pPr>
          </w:p>
        </w:tc>
        <w:tc>
          <w:tcPr>
            <w:tcW w:w="673" w:type="dxa"/>
            <w:vMerge w:val="continue"/>
            <w:vAlign w:val="center"/>
          </w:tcPr>
          <w:p w14:paraId="1BAC79FE">
            <w:pPr>
              <w:widowControl/>
              <w:jc w:val="left"/>
              <w:rPr>
                <w:rFonts w:hint="eastAsia" w:ascii="宋体" w:hAnsi="宋体" w:eastAsia="宋体" w:cs="宋体"/>
                <w:color w:val="auto"/>
                <w:kern w:val="0"/>
                <w:sz w:val="20"/>
                <w:szCs w:val="20"/>
              </w:rPr>
            </w:pPr>
          </w:p>
        </w:tc>
        <w:tc>
          <w:tcPr>
            <w:tcW w:w="597" w:type="dxa"/>
            <w:vAlign w:val="center"/>
          </w:tcPr>
          <w:p w14:paraId="42D0C0B1">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5D7D2D37">
            <w:pPr>
              <w:widowControl/>
              <w:jc w:val="left"/>
              <w:rPr>
                <w:rFonts w:hint="eastAsia" w:ascii="宋体" w:hAnsi="宋体" w:eastAsia="宋体" w:cs="宋体"/>
                <w:color w:val="auto"/>
                <w:kern w:val="0"/>
                <w:sz w:val="20"/>
                <w:szCs w:val="20"/>
              </w:rPr>
            </w:pPr>
          </w:p>
        </w:tc>
        <w:tc>
          <w:tcPr>
            <w:tcW w:w="464" w:type="dxa"/>
            <w:vMerge w:val="continue"/>
            <w:vAlign w:val="center"/>
          </w:tcPr>
          <w:p w14:paraId="263C7026">
            <w:pPr>
              <w:widowControl/>
              <w:jc w:val="left"/>
              <w:rPr>
                <w:rFonts w:hint="eastAsia" w:ascii="宋体" w:hAnsi="宋体" w:eastAsia="宋体" w:cs="宋体"/>
                <w:color w:val="auto"/>
                <w:kern w:val="0"/>
                <w:sz w:val="20"/>
                <w:szCs w:val="20"/>
              </w:rPr>
            </w:pPr>
          </w:p>
        </w:tc>
        <w:tc>
          <w:tcPr>
            <w:tcW w:w="1656" w:type="dxa"/>
            <w:noWrap/>
            <w:vAlign w:val="center"/>
          </w:tcPr>
          <w:p w14:paraId="77A71B1F">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统一财务管理系统</w:t>
            </w:r>
          </w:p>
        </w:tc>
        <w:tc>
          <w:tcPr>
            <w:tcW w:w="8858" w:type="dxa"/>
            <w:vAlign w:val="center"/>
          </w:tcPr>
          <w:p w14:paraId="60C872BD">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建立医共体统一的财务管理中心，采集医共体内各医疗机构财务数据，支持医共体统一数据汇集、展现和分析。</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支持根据医共体的统一财务管理的要求标准会计科目，实现对会计科目目录的自定义设置，包含目录的新增、编辑、停用等操作。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支持财务报表目录的管理用于医共体牵头单位统一对财务报表目录制订、并统一下发到各个医疗机构。</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数据上传：支持医共体集团内的各报表项目的上传，支持当前登录机构的各报表项目的上传，支持机构自主上传数据。</w:t>
            </w:r>
          </w:p>
        </w:tc>
      </w:tr>
      <w:tr w14:paraId="15C37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trHeight w:val="405" w:hRule="atLeast"/>
          <w:jc w:val="center"/>
        </w:trPr>
        <w:tc>
          <w:tcPr>
            <w:tcW w:w="523" w:type="dxa"/>
            <w:vMerge w:val="continue"/>
            <w:vAlign w:val="center"/>
          </w:tcPr>
          <w:p w14:paraId="20A955D3">
            <w:pPr>
              <w:widowControl/>
              <w:jc w:val="left"/>
              <w:rPr>
                <w:rFonts w:hint="eastAsia" w:ascii="宋体" w:hAnsi="宋体" w:eastAsia="宋体" w:cs="宋体"/>
                <w:color w:val="auto"/>
                <w:kern w:val="0"/>
                <w:sz w:val="20"/>
                <w:szCs w:val="20"/>
              </w:rPr>
            </w:pPr>
          </w:p>
        </w:tc>
        <w:tc>
          <w:tcPr>
            <w:tcW w:w="673" w:type="dxa"/>
            <w:vMerge w:val="continue"/>
            <w:vAlign w:val="center"/>
          </w:tcPr>
          <w:p w14:paraId="1B4E4543">
            <w:pPr>
              <w:widowControl/>
              <w:jc w:val="left"/>
              <w:rPr>
                <w:rFonts w:hint="eastAsia" w:ascii="宋体" w:hAnsi="宋体" w:eastAsia="宋体" w:cs="宋体"/>
                <w:color w:val="auto"/>
                <w:kern w:val="0"/>
                <w:sz w:val="20"/>
                <w:szCs w:val="20"/>
              </w:rPr>
            </w:pPr>
          </w:p>
        </w:tc>
        <w:tc>
          <w:tcPr>
            <w:tcW w:w="597" w:type="dxa"/>
            <w:vAlign w:val="center"/>
          </w:tcPr>
          <w:p w14:paraId="24C3EB5E">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0B292854">
            <w:pPr>
              <w:widowControl/>
              <w:jc w:val="left"/>
              <w:rPr>
                <w:rFonts w:hint="eastAsia" w:ascii="宋体" w:hAnsi="宋体" w:eastAsia="宋体" w:cs="宋体"/>
                <w:color w:val="auto"/>
                <w:kern w:val="0"/>
                <w:sz w:val="20"/>
                <w:szCs w:val="20"/>
              </w:rPr>
            </w:pPr>
          </w:p>
        </w:tc>
        <w:tc>
          <w:tcPr>
            <w:tcW w:w="464" w:type="dxa"/>
            <w:vMerge w:val="continue"/>
            <w:vAlign w:val="center"/>
          </w:tcPr>
          <w:p w14:paraId="44FCD450">
            <w:pPr>
              <w:widowControl/>
              <w:jc w:val="left"/>
              <w:rPr>
                <w:rFonts w:hint="eastAsia" w:ascii="宋体" w:hAnsi="宋体" w:eastAsia="宋体" w:cs="宋体"/>
                <w:color w:val="auto"/>
                <w:kern w:val="0"/>
                <w:sz w:val="20"/>
                <w:szCs w:val="20"/>
              </w:rPr>
            </w:pPr>
          </w:p>
        </w:tc>
        <w:tc>
          <w:tcPr>
            <w:tcW w:w="1656" w:type="dxa"/>
            <w:shd w:val="clear" w:color="000000" w:fill="FFFFFF"/>
            <w:noWrap/>
            <w:vAlign w:val="center"/>
          </w:tcPr>
          <w:p w14:paraId="3269EAF0">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统一物资管理系统</w:t>
            </w:r>
          </w:p>
        </w:tc>
        <w:tc>
          <w:tcPr>
            <w:tcW w:w="8858" w:type="dxa"/>
            <w:shd w:val="clear" w:color="000000" w:fill="FFFFFF"/>
            <w:vAlign w:val="center"/>
          </w:tcPr>
          <w:p w14:paraId="2466C5EB">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物资（药品、耗材）管理系统管理整个医共体组织及下属所有医疗机构的相关药品、物资、耗材，使得医共体能够有效整合内部所有医疗机构的相关资源，统一物资编码、统一管理、统一调配、统一解决运行过程中的相关问题。</w:t>
            </w:r>
          </w:p>
        </w:tc>
      </w:tr>
      <w:tr w14:paraId="6632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trHeight w:val="405" w:hRule="atLeast"/>
          <w:jc w:val="center"/>
        </w:trPr>
        <w:tc>
          <w:tcPr>
            <w:tcW w:w="523" w:type="dxa"/>
            <w:vMerge w:val="continue"/>
            <w:vAlign w:val="center"/>
          </w:tcPr>
          <w:p w14:paraId="07730582">
            <w:pPr>
              <w:widowControl/>
              <w:jc w:val="left"/>
              <w:rPr>
                <w:rFonts w:hint="eastAsia" w:ascii="宋体" w:hAnsi="宋体" w:eastAsia="宋体" w:cs="宋体"/>
                <w:color w:val="auto"/>
                <w:kern w:val="0"/>
                <w:sz w:val="20"/>
                <w:szCs w:val="20"/>
              </w:rPr>
            </w:pPr>
          </w:p>
        </w:tc>
        <w:tc>
          <w:tcPr>
            <w:tcW w:w="673" w:type="dxa"/>
            <w:vMerge w:val="continue"/>
            <w:vAlign w:val="center"/>
          </w:tcPr>
          <w:p w14:paraId="62A6FF40">
            <w:pPr>
              <w:widowControl/>
              <w:jc w:val="left"/>
              <w:rPr>
                <w:rFonts w:hint="eastAsia" w:ascii="宋体" w:hAnsi="宋体" w:eastAsia="宋体" w:cs="宋体"/>
                <w:color w:val="auto"/>
                <w:kern w:val="0"/>
                <w:sz w:val="20"/>
                <w:szCs w:val="20"/>
              </w:rPr>
            </w:pPr>
          </w:p>
        </w:tc>
        <w:tc>
          <w:tcPr>
            <w:tcW w:w="597" w:type="dxa"/>
            <w:vAlign w:val="center"/>
          </w:tcPr>
          <w:p w14:paraId="3B9B2ED7">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4B60B9DC">
            <w:pPr>
              <w:widowControl/>
              <w:jc w:val="left"/>
              <w:rPr>
                <w:rFonts w:hint="eastAsia" w:ascii="宋体" w:hAnsi="宋体" w:eastAsia="宋体" w:cs="宋体"/>
                <w:color w:val="auto"/>
                <w:kern w:val="0"/>
                <w:sz w:val="20"/>
                <w:szCs w:val="20"/>
              </w:rPr>
            </w:pPr>
          </w:p>
        </w:tc>
        <w:tc>
          <w:tcPr>
            <w:tcW w:w="464" w:type="dxa"/>
            <w:vMerge w:val="continue"/>
            <w:vAlign w:val="center"/>
          </w:tcPr>
          <w:p w14:paraId="58C6F8E6">
            <w:pPr>
              <w:widowControl/>
              <w:jc w:val="left"/>
              <w:rPr>
                <w:rFonts w:hint="eastAsia" w:ascii="宋体" w:hAnsi="宋体" w:eastAsia="宋体" w:cs="宋体"/>
                <w:color w:val="auto"/>
                <w:kern w:val="0"/>
                <w:sz w:val="20"/>
                <w:szCs w:val="20"/>
              </w:rPr>
            </w:pPr>
          </w:p>
        </w:tc>
        <w:tc>
          <w:tcPr>
            <w:tcW w:w="1656" w:type="dxa"/>
            <w:shd w:val="clear" w:color="000000" w:fill="FFFFFF"/>
            <w:noWrap/>
            <w:vAlign w:val="center"/>
          </w:tcPr>
          <w:p w14:paraId="6447706F">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统一资产设备管理</w:t>
            </w:r>
          </w:p>
        </w:tc>
        <w:tc>
          <w:tcPr>
            <w:tcW w:w="8858" w:type="dxa"/>
            <w:shd w:val="clear" w:color="000000" w:fill="FFFFFF"/>
            <w:vAlign w:val="center"/>
          </w:tcPr>
          <w:p w14:paraId="23B14D35">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统一资产设备管理系统管理整个医共体组织及下属所有医疗机构的相关设备，包含</w:t>
            </w:r>
          </w:p>
          <w:p w14:paraId="63EBBFE5">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设备目录：支持对设备进行分类管理、支持分类下的设备目录管理，包括新增、新增共用、适用机构等操作。</w:t>
            </w:r>
          </w:p>
          <w:p w14:paraId="662DA5A1">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生产商管理：支持对设备生产商管理，主要包括供应商的查询、新增、修改、删除等。</w:t>
            </w:r>
          </w:p>
          <w:p w14:paraId="003811D8">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供应商管理：支持对设备供应商管理，主要包括供应商的查询(支持已应用供应商和未应用供应商、所有等参数查询）、新增、修改、删除、应用所有供应商到当前机构等。</w:t>
            </w:r>
          </w:p>
          <w:p w14:paraId="021144B8">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折旧期间管理：支持对设备折旧期间管理，包括折旧期间的新增、修改、删除等。</w:t>
            </w:r>
          </w:p>
          <w:p w14:paraId="6B85F1A0">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采购管理</w:t>
            </w:r>
          </w:p>
          <w:p w14:paraId="0C938AD7">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采购申请管理：支持对采购申请管理，新增采购申请（包括设备类型、规格型号申请数量、申请科室、申请人、申请日期、期望到货日期、预估单价、预估总金额、设备参数的填写）。支持按照申请科室、申请人、申请单号、状态、申请日期、审核日期等参数进行采购申请的查询。</w:t>
            </w:r>
          </w:p>
          <w:p w14:paraId="13421A2C">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采购计划管理：对各科室设备采购计划进行管理，支持从申请单直接导入采购计划数据。采购计划记录查询（支持通过计划单号、状态、计划日期等参数进行查询，查看计划明细等。）</w:t>
            </w:r>
          </w:p>
          <w:p w14:paraId="69F2C912">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库房管理</w:t>
            </w:r>
          </w:p>
          <w:p w14:paraId="2218B57F">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入库管理</w:t>
            </w:r>
          </w:p>
          <w:p w14:paraId="28F78994">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对设备进行入库管理，新增设备入库（包括设备的基本信息、售后信息、验收信息等参数填写）。支持入库记录查看（支持通过库房、入库人、入库类型、入库单号、状态、入库时间、审核时间等参数进行入库记录和入库明细的查看）。</w:t>
            </w:r>
          </w:p>
          <w:p w14:paraId="3B65AE56">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出库管理</w:t>
            </w:r>
          </w:p>
          <w:p w14:paraId="46DDDC3A">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支持对设备进行出库管理，新增设备出库。支持出库记录查看（支持通过库房、出库人、出库类型、出库单号、状态、出库时间、审核时间等参数进行出库记录和出库明细的查看）。</w:t>
            </w:r>
          </w:p>
          <w:p w14:paraId="485685BF">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设备领用</w:t>
            </w:r>
          </w:p>
          <w:p w14:paraId="3A55C0B6">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支持设备领用登记，包括领用时间、库房、经办人、领用科室、领用人、设备名称、领用数量等登记。</w:t>
            </w:r>
          </w:p>
          <w:p w14:paraId="06CED52C">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支持领用记录查询（支持通过申领科室、领用单号、领用人、状态、申领日期、审核日期等参数进行查询，支持领用明细查看及导出。</w:t>
            </w:r>
          </w:p>
          <w:p w14:paraId="47D49E4C">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库存盘点</w:t>
            </w:r>
          </w:p>
          <w:p w14:paraId="42C9B4FB">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支持对设备库存进行盘点，支持新增盘点项、支持按条件对设备直接进行提取后进行盘点。</w:t>
            </w:r>
          </w:p>
          <w:p w14:paraId="4F30E630">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支持盘点记录查询（支持库房、盘点单号、状态、盘点日期、审核日期等参数进行查询）、支持单据明细查看和导出。</w:t>
            </w:r>
          </w:p>
          <w:p w14:paraId="21FB9396">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库存查询</w:t>
            </w:r>
          </w:p>
          <w:p w14:paraId="4B59944B">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支持对设备库存进行查询，支持库房、关键词搜索等方式对设备库存进行查询。支持对设备库存明细进行查看。</w:t>
            </w:r>
          </w:p>
          <w:p w14:paraId="469AE0EE">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设备卡片管理</w:t>
            </w:r>
          </w:p>
          <w:p w14:paraId="3EB3E294">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设备卡片作为用以进行设备明细核算的账簿。记录了设备的内部调动情况，以便及时了解设备的存在和变动情况。</w:t>
            </w:r>
          </w:p>
          <w:p w14:paraId="1608129F">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卡片管理</w:t>
            </w:r>
          </w:p>
          <w:p w14:paraId="4EBF22D8">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支持通过设备分类、使用科室、状态、关键词等参数进行设备卡片的查询，支持对设备基本信息的编辑，支持卡片数据信息的导入。</w:t>
            </w:r>
          </w:p>
          <w:p w14:paraId="15A8A471">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支持子设备、维修记录、保养记录、检定记录、附件记录等内容的查看。</w:t>
            </w:r>
          </w:p>
          <w:p w14:paraId="01B95314">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设备使用管理</w:t>
            </w:r>
          </w:p>
          <w:p w14:paraId="3DB4D971">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科室设备查询</w:t>
            </w:r>
          </w:p>
          <w:p w14:paraId="5E06A037">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支持分科室对设备情况进行查询，支持通过已建卡和未建卡状态的设备的查询。</w:t>
            </w:r>
          </w:p>
          <w:p w14:paraId="3F3D387F">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故障报修</w:t>
            </w:r>
          </w:p>
          <w:p w14:paraId="2AAD23CC">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对设备的故障报修，支持通过报修时间、报修人、关键字等维度进行设备故障的报修情况查询。支持新增报修信息。</w:t>
            </w:r>
          </w:p>
          <w:p w14:paraId="4F4323C6">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设备维修</w:t>
            </w:r>
          </w:p>
          <w:p w14:paraId="5DC03486">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支持设备维修情况查询，支持通过报修时间、报修人、关键字等维度进行设备故障的维修情况查询。</w:t>
            </w:r>
          </w:p>
          <w:p w14:paraId="31ABF177">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设备保养</w:t>
            </w:r>
          </w:p>
          <w:p w14:paraId="2C5B3494">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支持设备保养情况查询，支持通过保养时间、使用科室、关键字等维度进行设备保养情况查询。支持新增保养登记。</w:t>
            </w:r>
          </w:p>
          <w:p w14:paraId="41FCDD25">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设备检定</w:t>
            </w:r>
          </w:p>
          <w:p w14:paraId="1CBCA3F1">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支持设备检定情况查询，支持通过检定时间、检定单位、关键字等维度进行检定情况查询。支持新增检定登记。</w:t>
            </w:r>
          </w:p>
          <w:p w14:paraId="0BEA23AE">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设备调动</w:t>
            </w:r>
          </w:p>
          <w:p w14:paraId="3067767F">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支持设备调动情况查询，支持通过登记时间、登记人、关键字等维度进行设备调动情况查询。支持新增调动登记。</w:t>
            </w:r>
          </w:p>
          <w:p w14:paraId="0C39A707">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设备退库</w:t>
            </w:r>
          </w:p>
          <w:p w14:paraId="1AC9768F">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支持设备退库情况查询，支持通过登记时间、登记人、关键字等维度进行设备调动情况查询。支持新增退库登记。</w:t>
            </w:r>
          </w:p>
          <w:p w14:paraId="3DD61C93">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设备报废</w:t>
            </w:r>
          </w:p>
          <w:p w14:paraId="5A12F7F6">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支持设备报废情况查询，支持通过提交日期、使用科室、关键字等维度进行设备报废情况查询。支持新增报废申请。</w:t>
            </w:r>
          </w:p>
          <w:p w14:paraId="24BF79ED">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设备工作量</w:t>
            </w:r>
          </w:p>
          <w:p w14:paraId="60B53F9A">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支持设备工作量情况查询，支持通过期间、登记科室、关键字等维度进行设备工作量情况查询。支持新增工作量登记。</w:t>
            </w:r>
          </w:p>
          <w:p w14:paraId="2455F43A">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设备折旧</w:t>
            </w:r>
          </w:p>
          <w:p w14:paraId="10872386">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支持设备折旧情况查询，支持通过期间查询设备折旧情况。支持新增折旧登记。</w:t>
            </w:r>
          </w:p>
          <w:p w14:paraId="2B6A85FA">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在用设备盘点</w:t>
            </w:r>
          </w:p>
          <w:p w14:paraId="30A28770">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支持对在用设备进行盘点，支持按条件直接提取设备分类进行设备盘点。支持盘点记录查询（包括使用科室、盘点单号、状态、盘点日期、审核日期等维度）、支持盘点单据明细查看和导出。</w:t>
            </w:r>
          </w:p>
        </w:tc>
      </w:tr>
      <w:tr w14:paraId="1BC42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3CB179D5">
            <w:pPr>
              <w:widowControl/>
              <w:jc w:val="left"/>
              <w:rPr>
                <w:rFonts w:hint="eastAsia" w:ascii="宋体" w:hAnsi="宋体" w:eastAsia="宋体" w:cs="宋体"/>
                <w:color w:val="auto"/>
                <w:kern w:val="0"/>
                <w:sz w:val="20"/>
                <w:szCs w:val="20"/>
              </w:rPr>
            </w:pPr>
          </w:p>
        </w:tc>
        <w:tc>
          <w:tcPr>
            <w:tcW w:w="673" w:type="dxa"/>
            <w:vMerge w:val="continue"/>
            <w:vAlign w:val="center"/>
          </w:tcPr>
          <w:p w14:paraId="7F9BC4EE">
            <w:pPr>
              <w:widowControl/>
              <w:jc w:val="left"/>
              <w:rPr>
                <w:rFonts w:hint="eastAsia" w:ascii="宋体" w:hAnsi="宋体" w:eastAsia="宋体" w:cs="宋体"/>
                <w:color w:val="auto"/>
                <w:kern w:val="0"/>
                <w:sz w:val="20"/>
                <w:szCs w:val="20"/>
              </w:rPr>
            </w:pPr>
          </w:p>
        </w:tc>
        <w:tc>
          <w:tcPr>
            <w:tcW w:w="597" w:type="dxa"/>
            <w:shd w:val="clear" w:color="000000" w:fill="FFFFFF"/>
            <w:vAlign w:val="center"/>
          </w:tcPr>
          <w:p w14:paraId="15DED586">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restart"/>
            <w:shd w:val="clear" w:color="000000" w:fill="FFFFFF"/>
            <w:vAlign w:val="center"/>
          </w:tcPr>
          <w:p w14:paraId="20B24149">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秩序合理</w:t>
            </w:r>
          </w:p>
        </w:tc>
        <w:tc>
          <w:tcPr>
            <w:tcW w:w="2120" w:type="dxa"/>
            <w:gridSpan w:val="2"/>
            <w:shd w:val="clear" w:color="000000" w:fill="FFFFFF"/>
            <w:vAlign w:val="center"/>
          </w:tcPr>
          <w:p w14:paraId="717F4B8F">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健康服务公众号</w:t>
            </w:r>
          </w:p>
        </w:tc>
        <w:tc>
          <w:tcPr>
            <w:tcW w:w="8858" w:type="dxa"/>
            <w:vAlign w:val="center"/>
          </w:tcPr>
          <w:p w14:paraId="3B829613">
            <w:pPr>
              <w:widowControl/>
              <w:jc w:val="left"/>
              <w:rPr>
                <w:rFonts w:hint="eastAsia" w:ascii="宋体" w:hAnsi="宋体" w:eastAsia="宋体" w:cs="宋体"/>
                <w:color w:val="auto"/>
                <w:kern w:val="0"/>
                <w:sz w:val="20"/>
                <w:szCs w:val="20"/>
              </w:rPr>
            </w:pPr>
            <w:r>
              <w:rPr>
                <w:rFonts w:hint="eastAsia" w:ascii="宋体" w:hAnsi="宋体" w:eastAsia="宋体" w:cs="宋体"/>
                <w:b/>
                <w:bCs/>
                <w:color w:val="auto"/>
                <w:kern w:val="0"/>
                <w:sz w:val="20"/>
                <w:szCs w:val="20"/>
              </w:rPr>
              <w:t>网上预约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预约挂号服务平台采用SOA构架，利用Web service服务，可同时支持B/S系统的接入。</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主要提供包括预约医院查询、预约专家查询、预约科室查询、预约排班医生查询、预约挂号操作、实时信息查询等，并可根据查询结果，提供同类信息资源推荐功能。同时提供门诊挂号、复诊预约、健康体检预约以及住院预约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提供与医院预约挂号相关的实时信息查询，如医院门诊挂号信息、医院住院床位信息、医疗费用价格信息、近期医院放号信息排行、未来七天医院预约数量排行等信息查询。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预约成功后，支持卡预存费账户扣款、银行卡支付等多种支付方式。</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支持病人账户管理功能，包括黑名单、账户锁定等，可以有效防止病人账户盗用。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居民登录当地的卫生门户系统或合法的医疗机构网站，点击“预约挂号管理”进入系统平台。通过身份验证后，居民可以根据自身病症情况在预约挂号服务系统中完成预约挂号操作，操作成功后系统会自动向居民登记的手机号码上发送一条预约挂号成功的信息，告知时间、地点、专家及科室等内容。</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智能导诊</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智能导诊是指为辖区内广大居民所提供的就医导诊的互联网服务，主要是提供给患者安全、可靠、权威的就医指导意见，保障居民合理、有序、安全地就医。</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健康档案</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健康档案包括居民个人健康档案的基本信息、门急诊及住院就诊信息、疾病信息、用药信息、接受健康教育、预防接种、健康管理、疾病管理的相关信息的查询。健康档案查询可支持按时间、按疾病类别、按服务机构等不同的检索方式。应能够与健康档案管理协作，通过健康档案查询获取个人健康信息。与健康教育协作获取与健康档案健康问题相关的健康指导，包括疾病问题健康指导、儿童预防接种程序、健康服务提醒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支持用户进入居民健康服务公众号后通过系统身份认证，查阅自己的健康档案。</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（1）健康档案包括以下内容：姓名、年龄、性别、电话、既往病史、家族病史、用药信息、住院信息等。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（2）门诊记录查询、检验结果查询、检查记录/报告查询、住院记录(病历)查询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（3）住院记录应包括入院日期、医院名称、入院科别、入院病区、入院床号、入院诊断、出院小结。</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检验检查结果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提供居民在公众号上查看自己就诊过的检验检查结果记录。</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健康服务提醒</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为居民提供健康服务的相关提醒，包括糖尿病随访、健康体检提醒等内容。</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健康管理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为居民提供健康管理服务，提供各种健康自我管理的小工具，包括身高体重信息、心率信息、血糖信息、血压信息、中医体质信息。</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家医签约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居民可以在公众号上进行家庭医生签约服务。</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健康宣教</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给居民提供查看健康教育知识，包括健康小报、名医说病、健康科普、新冠防护、健康生活指导等内容。</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家庭成员</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居民可以在公众号上管理自己的家庭成员。</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实名认证</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居民在公众号上通过绑定手机号码、身份证信息进行实名认证。</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意见反馈</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居民可以在公众号上反馈自己的意见，促进公众号服务优化。</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医院介绍</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医院介绍是对医疗机构的基本介绍和科室介绍，提供医院对应预约挂号的链接。</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注册用户管理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通过姓名、身份证号、电话等条件查询公众号的所有用户，进行统一管理。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实名认证管理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通过姓名、身份证号、电话等条件查询公众号实名认证的用户，进行统一管理。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预约管理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查看居民通过公众号预约医院的记录，并且可以手动取消预约。</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资讯发布管理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设置公众号上面需要发布的资讯信息。</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标题图片管理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对公众号的标题图片进行统一管理。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健康服务提醒配置管理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提供对健康服务提醒后台的配置管理，包括提醒数据记录、提醒数据抽取任务执行日志、提醒任务执行日志。</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协议管理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支持对公众号的协议进行统一管理。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意见反馈处理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支持对于公众号中居民提出的反馈意见进行统一处理。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预约挂号配置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支持对于公众号中的挂号地址及挂号方式进行统一配置。</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健康教育管理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提供对健康教育内容、健康指导分类、发布日志、评价管理等功能。</w:t>
            </w:r>
          </w:p>
        </w:tc>
      </w:tr>
      <w:tr w14:paraId="04328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trHeight w:val="255" w:hRule="atLeast"/>
          <w:jc w:val="center"/>
        </w:trPr>
        <w:tc>
          <w:tcPr>
            <w:tcW w:w="523" w:type="dxa"/>
            <w:vMerge w:val="continue"/>
            <w:vAlign w:val="center"/>
          </w:tcPr>
          <w:p w14:paraId="4FA8C50A">
            <w:pPr>
              <w:widowControl/>
              <w:jc w:val="left"/>
              <w:rPr>
                <w:rFonts w:hint="eastAsia" w:ascii="宋体" w:hAnsi="宋体" w:eastAsia="宋体" w:cs="宋体"/>
                <w:color w:val="auto"/>
                <w:kern w:val="0"/>
                <w:sz w:val="20"/>
                <w:szCs w:val="20"/>
              </w:rPr>
            </w:pPr>
          </w:p>
        </w:tc>
        <w:tc>
          <w:tcPr>
            <w:tcW w:w="673" w:type="dxa"/>
            <w:vMerge w:val="continue"/>
            <w:vAlign w:val="center"/>
          </w:tcPr>
          <w:p w14:paraId="189C00CE">
            <w:pPr>
              <w:widowControl/>
              <w:jc w:val="left"/>
              <w:rPr>
                <w:rFonts w:hint="eastAsia" w:ascii="宋体" w:hAnsi="宋体" w:eastAsia="宋体" w:cs="宋体"/>
                <w:color w:val="auto"/>
                <w:kern w:val="0"/>
                <w:sz w:val="20"/>
                <w:szCs w:val="20"/>
              </w:rPr>
            </w:pPr>
          </w:p>
        </w:tc>
        <w:tc>
          <w:tcPr>
            <w:tcW w:w="597" w:type="dxa"/>
            <w:vAlign w:val="center"/>
          </w:tcPr>
          <w:p w14:paraId="33D78F17">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6F993E4B">
            <w:pPr>
              <w:widowControl/>
              <w:jc w:val="left"/>
              <w:rPr>
                <w:rFonts w:hint="eastAsia" w:ascii="宋体" w:hAnsi="宋体" w:eastAsia="宋体" w:cs="宋体"/>
                <w:color w:val="auto"/>
                <w:kern w:val="0"/>
                <w:sz w:val="20"/>
                <w:szCs w:val="20"/>
              </w:rPr>
            </w:pPr>
          </w:p>
        </w:tc>
        <w:tc>
          <w:tcPr>
            <w:tcW w:w="2120" w:type="dxa"/>
            <w:gridSpan w:val="2"/>
            <w:shd w:val="clear" w:color="000000" w:fill="FFFFFF"/>
            <w:vAlign w:val="center"/>
          </w:tcPr>
          <w:p w14:paraId="64F7B463">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健康服务公众号对接</w:t>
            </w:r>
          </w:p>
        </w:tc>
        <w:tc>
          <w:tcPr>
            <w:tcW w:w="8858" w:type="dxa"/>
            <w:noWrap/>
            <w:vAlign w:val="center"/>
          </w:tcPr>
          <w:p w14:paraId="0DD01E99">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提供健康服务公众号对接服务。</w:t>
            </w:r>
          </w:p>
        </w:tc>
      </w:tr>
      <w:tr w14:paraId="56B91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2120BFE0">
            <w:pPr>
              <w:widowControl/>
              <w:jc w:val="left"/>
              <w:rPr>
                <w:rFonts w:hint="eastAsia" w:ascii="宋体" w:hAnsi="宋体" w:eastAsia="宋体" w:cs="宋体"/>
                <w:color w:val="auto"/>
                <w:kern w:val="0"/>
                <w:sz w:val="20"/>
                <w:szCs w:val="20"/>
              </w:rPr>
            </w:pPr>
          </w:p>
        </w:tc>
        <w:tc>
          <w:tcPr>
            <w:tcW w:w="673" w:type="dxa"/>
            <w:vMerge w:val="continue"/>
            <w:vAlign w:val="center"/>
          </w:tcPr>
          <w:p w14:paraId="006DABD3">
            <w:pPr>
              <w:widowControl/>
              <w:jc w:val="left"/>
              <w:rPr>
                <w:rFonts w:hint="eastAsia" w:ascii="宋体" w:hAnsi="宋体" w:eastAsia="宋体" w:cs="宋体"/>
                <w:color w:val="auto"/>
                <w:kern w:val="0"/>
                <w:sz w:val="20"/>
                <w:szCs w:val="20"/>
              </w:rPr>
            </w:pPr>
          </w:p>
        </w:tc>
        <w:tc>
          <w:tcPr>
            <w:tcW w:w="597" w:type="dxa"/>
            <w:vAlign w:val="center"/>
          </w:tcPr>
          <w:p w14:paraId="0A658104">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7313353E">
            <w:pPr>
              <w:widowControl/>
              <w:jc w:val="left"/>
              <w:rPr>
                <w:rFonts w:hint="eastAsia" w:ascii="宋体" w:hAnsi="宋体" w:eastAsia="宋体" w:cs="宋体"/>
                <w:color w:val="auto"/>
                <w:kern w:val="0"/>
                <w:sz w:val="20"/>
                <w:szCs w:val="20"/>
              </w:rPr>
            </w:pPr>
          </w:p>
        </w:tc>
        <w:tc>
          <w:tcPr>
            <w:tcW w:w="2120" w:type="dxa"/>
            <w:gridSpan w:val="2"/>
            <w:shd w:val="clear" w:color="000000" w:fill="FFFFFF"/>
            <w:vAlign w:val="center"/>
          </w:tcPr>
          <w:p w14:paraId="42EE791B">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区域处方集服务</w:t>
            </w:r>
          </w:p>
        </w:tc>
        <w:tc>
          <w:tcPr>
            <w:tcW w:w="8858" w:type="dxa"/>
            <w:vAlign w:val="center"/>
          </w:tcPr>
          <w:p w14:paraId="51A8E07E">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处方集是根据医共体各成员机构的性质、功能和工作任务而制定的基本用药集。处方集对医共体内临床用药起到普遍的指导性，并具有一定的约束性作用。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处方集主要数据来源于《中国国家处方集》（化学药品与生物制品卷 第2版）、《国家基本药物处方集》（化学药品和生物制品 2009版基层部分）。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根据国家处方集内容结构，用户可以编辑及发布自己的处方集，处方集分为四个部分：总论、治疗指南、药品参考、附录。并支持提供接口共享知识库的数据。</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总论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对于政策及用药的总论性文章，其中包括合理使用药物的概述、关于开具处方的一些管理规定、临床用药管理相关法规介绍、相关药品定义与概念、特殊人群用药等。支持目录和内容的维护。</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治疗指南</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提供治疗指南的知识库，根据疾病类别（基层常见病、多发病）提供诊断和用药方面的介绍。《中国国家处方集》按 20 个系统(章)分类，医院可根据实际需要发布相关分类用药。支持对知识库内容的维护，支持基层调用。</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药品参考</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纯药品知识库，支持查看参考药品说明书全文。按照药品类型实现对药品的分类管理，提供不同药品品类的说明，支持参考药品说明书维护，支持适用药品管理，一个参考药品可适用于多个本机构具有相近性质的在用药品，以便在诊疗过程中，提供知识支持，辅助开展诊疗工作，并供基层调用。</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附录</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其他与处方集相关的知识库管理，从应用角度出发介绍医务人员常用的信息提示。</w:t>
            </w:r>
          </w:p>
        </w:tc>
      </w:tr>
      <w:tr w14:paraId="4BBC5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16230AAF">
            <w:pPr>
              <w:widowControl/>
              <w:jc w:val="left"/>
              <w:rPr>
                <w:rFonts w:hint="eastAsia" w:ascii="宋体" w:hAnsi="宋体" w:eastAsia="宋体" w:cs="宋体"/>
                <w:color w:val="auto"/>
                <w:kern w:val="0"/>
                <w:sz w:val="20"/>
                <w:szCs w:val="20"/>
              </w:rPr>
            </w:pPr>
          </w:p>
        </w:tc>
        <w:tc>
          <w:tcPr>
            <w:tcW w:w="673" w:type="dxa"/>
            <w:vMerge w:val="continue"/>
            <w:vAlign w:val="center"/>
          </w:tcPr>
          <w:p w14:paraId="595DA0A8">
            <w:pPr>
              <w:widowControl/>
              <w:jc w:val="left"/>
              <w:rPr>
                <w:rFonts w:hint="eastAsia" w:ascii="宋体" w:hAnsi="宋体" w:eastAsia="宋体" w:cs="宋体"/>
                <w:color w:val="auto"/>
                <w:kern w:val="0"/>
                <w:sz w:val="20"/>
                <w:szCs w:val="20"/>
              </w:rPr>
            </w:pPr>
          </w:p>
        </w:tc>
        <w:tc>
          <w:tcPr>
            <w:tcW w:w="597" w:type="dxa"/>
            <w:vAlign w:val="center"/>
          </w:tcPr>
          <w:p w14:paraId="77E93900">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493CAB63">
            <w:pPr>
              <w:widowControl/>
              <w:jc w:val="left"/>
              <w:rPr>
                <w:rFonts w:hint="eastAsia" w:ascii="宋体" w:hAnsi="宋体" w:eastAsia="宋体" w:cs="宋体"/>
                <w:color w:val="auto"/>
                <w:kern w:val="0"/>
                <w:sz w:val="20"/>
                <w:szCs w:val="20"/>
              </w:rPr>
            </w:pPr>
          </w:p>
        </w:tc>
        <w:tc>
          <w:tcPr>
            <w:tcW w:w="2120" w:type="dxa"/>
            <w:gridSpan w:val="2"/>
            <w:shd w:val="clear" w:color="000000" w:fill="FFFFFF"/>
            <w:vAlign w:val="center"/>
          </w:tcPr>
          <w:p w14:paraId="3787CE81">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双向转诊系统</w:t>
            </w:r>
          </w:p>
        </w:tc>
        <w:tc>
          <w:tcPr>
            <w:tcW w:w="8858" w:type="dxa"/>
            <w:vAlign w:val="center"/>
          </w:tcPr>
          <w:p w14:paraId="700A0706">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双向转诊系统包含卫健委对双向转诊的监管以及病人从基层医院向区域中心医院转诊和从中心医院转诊病人到基层医院的双向过程。该系统解决转诊过程的业务管理问题，包括上转下、下转上等的业务，以及与医院信息系统和社区信息系统的出入院业务相衔接。同时可对转诊医院资源查询，转诊数量统计，转诊机构的管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转诊配置管理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各级医疗机构通过平台对医疗机构的转诊对口关系统一进行维护，实现转诊资源的统一定义。主要包含对转诊机构的转诊科室、基础配置、门诊医生、入院病区、入院科室、病区科室、挂号安排等的管理。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转诊科室：各级医疗机构的机构管理员维护本机构内转诊科室的信息。启用、修改、停用科室信息。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础配置：实现转诊基本信息（用于适用范围、医院类型、基层产品、登记模式、病历授权、科室病区、是否需要审核等信息的配置）、就诊服务(服务类型、服务地址、授权码、数据库IP等的配置）、基层服务（基层服务地址）、数据服务（数据服务地址）、EMR地址、平台地址、家医签约（是否签约转诊、家医站点、服务地址等）等的配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门诊医生：各级医疗机构的机构管理员维护本机构内医生的信息。并可以新增，修改、删除医生信息。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入院病区：各级医疗机构的机构管理员维护本机构内转诊可入院病区信息。并可以新增、修改、删除病区信息。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入院科室：各级医疗机构的机构管理员维护本机构内可转诊入院的科室信息。并可以新增、修改、删除病区信息。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病区科室：各级医疗机构的机构管理员维护本机构内病区和科室的对照信息。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挂号安排：各级医疗机构的机构管理员维护本机构相关挂号安排信息，包括号类、号码、项目、金额等信息的新增、修改、删除等。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转诊接口授权</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主要用于转诊接口的登录账号、登录密码、登录密钥等信息的授权信息配置。支持新增、修改、删除等。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转诊功能管理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主要用于转诊过程中转诊接收、转诊申请、公共方法等分类下的功能配置与维护。</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转诊权限配置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对转诊机构下的的用户角色进行有效的菜单授权管理，使用户角色具有相对应的操作权限，角色划分给用户进入系统后可以看到和操作自己功能菜单。</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转诊申请工作站</w:t>
            </w:r>
            <w:r>
              <w:rPr>
                <w:rFonts w:hint="eastAsia" w:ascii="宋体" w:hAnsi="宋体" w:eastAsia="宋体" w:cs="宋体"/>
                <w:b/>
                <w:bCs/>
                <w:color w:val="auto"/>
                <w:kern w:val="0"/>
                <w:sz w:val="20"/>
                <w:szCs w:val="20"/>
              </w:rPr>
              <w:br w:type="textWrapping"/>
            </w:r>
            <w:r>
              <w:rPr>
                <w:rFonts w:hint="eastAsia" w:ascii="宋体" w:hAnsi="宋体" w:eastAsia="宋体" w:cs="宋体"/>
                <w:color w:val="auto"/>
                <w:kern w:val="0"/>
                <w:sz w:val="20"/>
                <w:szCs w:val="20"/>
              </w:rPr>
              <w:t>提供转诊申请功能，基层医疗机构可以向中心医院发送转诊申请同时中心医院也可向基层医疗机构发送转回申请。对于符合转诊标准的门急诊患者，可由全科医生或者家庭医生进行转诊申请，转诊申请有两种方式，一种是在社区卫生服务中心的HIS系统中填写转诊申请单，提交后相关记录会显示在转诊记录模块列表中；另一种是直接在转诊系统中填写转诊申请单并提交实现转诊申请。</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转诊申请：医生为需要转诊的患者进行转诊申请登记，填写转诊登记中的患者基本信息、诊断信息、治疗过程、转诊信息（转诊机构、转诊科室、转诊方式、责任医师、转诊目的、当前情况等）完成转诊登记，支持对转诊申请单及转诊同意书的打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医生可查询自己发起的转诊申请信息，可修改或者作废转诊申请。</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转诊审核：支持转诊申请审核，有审核权限的医生可查询待审核的转出申请单，进行审核操作。也可对已经完成审核的转诊申请进行取消。支持查看转诊患者在转出医院的就诊的电子病历信息，并支持上传患者病历信息到医共体平台的电子病历数据中心，转诊接收机构可以查看最新的患者病历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可查询当前登录机构的转诊申请单记录及详细情况。并支持开始时间、结束时间、查找类型等多种形式的组合查询。</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转诊接收工作站</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转诊接收功能，可以对其他医疗机构的转院患者进行安排，安排到具体的科室病房等等。就诊患者按照转诊接收安排在指定时间前去相应的接收机构，接诊人员处理转诊单，患者进入接诊医院就诊流程。接诊处理要在系统中记录接诊业务完成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转诊接收：转诊接收机构医生可以查看已申请的患者基本信息、转诊信息。决定是否接手转诊患者。并可对转诊患者进行接收、取消接收、拒绝接收、申请建议等。支持对已接收患者进行就诊登记，门诊挂号。医生可查询转诊患者在转出医院的就诊的最新上传的电子病历信息。并在HIS中完成接诊操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转诊工作量统计：通过转诊工作量统计，可以了解当前机构与转诊机构的双向转诊中转出、转入的数量。</w:t>
            </w:r>
          </w:p>
        </w:tc>
      </w:tr>
      <w:tr w14:paraId="35382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13FDF4E4">
            <w:pPr>
              <w:widowControl/>
              <w:jc w:val="left"/>
              <w:rPr>
                <w:rFonts w:hint="eastAsia" w:ascii="宋体" w:hAnsi="宋体" w:eastAsia="宋体" w:cs="宋体"/>
                <w:color w:val="auto"/>
                <w:kern w:val="0"/>
                <w:sz w:val="20"/>
                <w:szCs w:val="20"/>
              </w:rPr>
            </w:pPr>
          </w:p>
        </w:tc>
        <w:tc>
          <w:tcPr>
            <w:tcW w:w="673" w:type="dxa"/>
            <w:vMerge w:val="continue"/>
            <w:vAlign w:val="center"/>
          </w:tcPr>
          <w:p w14:paraId="10A88947">
            <w:pPr>
              <w:widowControl/>
              <w:jc w:val="left"/>
              <w:rPr>
                <w:rFonts w:hint="eastAsia" w:ascii="宋体" w:hAnsi="宋体" w:eastAsia="宋体" w:cs="宋体"/>
                <w:color w:val="auto"/>
                <w:kern w:val="0"/>
                <w:sz w:val="20"/>
                <w:szCs w:val="20"/>
              </w:rPr>
            </w:pPr>
          </w:p>
        </w:tc>
        <w:tc>
          <w:tcPr>
            <w:tcW w:w="597" w:type="dxa"/>
            <w:shd w:val="clear" w:color="000000" w:fill="FFFFFF"/>
            <w:vAlign w:val="center"/>
          </w:tcPr>
          <w:p w14:paraId="2CA70FFB">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restart"/>
            <w:shd w:val="clear" w:color="000000" w:fill="FFFFFF"/>
            <w:vAlign w:val="center"/>
          </w:tcPr>
          <w:p w14:paraId="201CE9F3">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医共体综合运营监管</w:t>
            </w:r>
          </w:p>
        </w:tc>
        <w:tc>
          <w:tcPr>
            <w:tcW w:w="2120" w:type="dxa"/>
            <w:gridSpan w:val="2"/>
            <w:shd w:val="clear" w:color="000000" w:fill="FFFFFF"/>
            <w:vAlign w:val="center"/>
          </w:tcPr>
          <w:p w14:paraId="1047D9FC">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医共体动态大屏监测系统</w:t>
            </w:r>
          </w:p>
        </w:tc>
        <w:tc>
          <w:tcPr>
            <w:tcW w:w="8858" w:type="dxa"/>
            <w:vAlign w:val="center"/>
          </w:tcPr>
          <w:p w14:paraId="2F824FB2">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能够大屏实时监控医共体的业务数据，包括双向转诊业务量，疾病诊断排行，电子病历共享患者和医生查阅情况，协同业务（区域影像、区域临检、区域心电、区域病理、消毒供应）工作量及协同业务实时情况。</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大屏展示内容可根据监管重点定制化设置，支持自定义个性化指标设置，用户可根据需要可设置实时监控内容包括诊疗人次情况（门诊、住院），收入情况（按月），收入结构分析，辖区的机构数，人口数，建档数，建档率，家庭医生签约人数，签约率，老年人、慢病的建档人数，管理人数，慢病的服务情况，规范管理情况，并可根据地域实际情况支持增加编辑，支持以地图的形式显示各机构的门诊和住院次均费用，同时提供柱状图、折线图、仪表图等多种数据展现方式可供选择。</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辖区整体情况：对辖区整体情况进行统计、展示，包括占地面积、地图展示、常住人口数、累计总收入等信息。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门诊/住院人次：展示区域内年度、月度门急诊人次以及住院人次，支持柱状图、折线图进行数据展现。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门诊/住院收入：展示区域内年度、月度门诊住院收入情况，支持柱状图、折线图进行数据展现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收入结构分析：展现门诊收入结构情况，包括药品、治疗、挂号、检查、检验、卫材以及其他；展现住院收入结构情况，包括药品及手术收入。</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各机构情况分析：统计展示辖区机构数量，各机构分布位置，收入情况，并以地图结合柱状图形式展现。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门诊/住院质控：展示门诊和住院质控情况，包括抗菌处方、输液处方、激素处方占比以及住院结案和未结案人次占比。</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双向转诊情况查询：查询区域内各机构开展双向转诊业务情况,转诊数量统计。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区域影像情况查询：查询区域内各机构开展区域影像业务情况，代理检查和远程阅片的数量和收入统计。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区域临检情况查询：查询区域内各机构开展区域临检业务情况，代理检验各项目的数量和收入的统计。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区域心电情况查询：查询区域内各机构开展区域心电业务情况，远程协助诊断项目数量和收入的统计。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区域病理情况查询：查询区域内各机构开展病理诊断业务情况，病理诊断项目数量和收入的统计。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消毒供应情况查询：查询区域内各机构一次性物品、无菌物品、手术器械的发放和回收情况统计。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信息传输动态展现：以地图形式对辖区内各机构间信息互通情况进行动态展现。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疾病诊断排行：对辖区内各机构诊断出的疾病情况进行统计、排名，帮助卫生局、疾控部门实时掌握辖区内居民疾病健康状况。</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电子病历共享统计：统计辖区内各月的电子病历共享调阅情况，并将患者调阅和医生调阅分类统计。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协同工作实况：实时展示辖区内协同业务处置信息，包括时间、发起机构、发起责任人、发起业务、审核及处置信息等内容。</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业务时效性分析：展现协同业务处理情况，对及时处理、延时处理、未处理等各种情况进行统计占比展示。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提供多种维度的母版大屏，包括医疗大屏、资源大屏等。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▲自定义大屏工具：平台提供自定义大屏工具，大屏展示内容可根据监管重点定制化设置，支持自定义个性化指标设置，用户可根据需要可设置实时监控内容。(要求提供功软件功能截图)。</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医疗监管大屏的图例，大屏内的监管指标包括辖区医疗机构就诊分布图、门急诊人次统计、医保人次统计、疾病诊断排名（top5）、累计就诊人次、基药品种占比、基药金额占比、医保人次占比、抗生素占比、中药处方占比、手术人次数、总处方数量、抗生素处方数量、中药处方数、累计出入院人次、住院手术人次、中药处方统计等指标情况。(要求提供功软件功能截图)。</w:t>
            </w:r>
          </w:p>
        </w:tc>
      </w:tr>
      <w:tr w14:paraId="10FFA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4736F03A">
            <w:pPr>
              <w:widowControl/>
              <w:jc w:val="left"/>
              <w:rPr>
                <w:rFonts w:hint="eastAsia" w:ascii="宋体" w:hAnsi="宋体" w:eastAsia="宋体" w:cs="宋体"/>
                <w:color w:val="auto"/>
                <w:kern w:val="0"/>
                <w:sz w:val="20"/>
                <w:szCs w:val="20"/>
              </w:rPr>
            </w:pPr>
          </w:p>
        </w:tc>
        <w:tc>
          <w:tcPr>
            <w:tcW w:w="673" w:type="dxa"/>
            <w:vMerge w:val="continue"/>
            <w:vAlign w:val="center"/>
          </w:tcPr>
          <w:p w14:paraId="21AAC1A8">
            <w:pPr>
              <w:widowControl/>
              <w:jc w:val="left"/>
              <w:rPr>
                <w:rFonts w:hint="eastAsia" w:ascii="宋体" w:hAnsi="宋体" w:eastAsia="宋体" w:cs="宋体"/>
                <w:color w:val="auto"/>
                <w:kern w:val="0"/>
                <w:sz w:val="20"/>
                <w:szCs w:val="20"/>
              </w:rPr>
            </w:pPr>
          </w:p>
        </w:tc>
        <w:tc>
          <w:tcPr>
            <w:tcW w:w="597" w:type="dxa"/>
            <w:vAlign w:val="center"/>
          </w:tcPr>
          <w:p w14:paraId="2ED402AE">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16778CFA">
            <w:pPr>
              <w:widowControl/>
              <w:jc w:val="left"/>
              <w:rPr>
                <w:rFonts w:hint="eastAsia" w:ascii="宋体" w:hAnsi="宋体" w:eastAsia="宋体" w:cs="宋体"/>
                <w:color w:val="auto"/>
                <w:kern w:val="0"/>
                <w:sz w:val="20"/>
                <w:szCs w:val="20"/>
              </w:rPr>
            </w:pPr>
          </w:p>
        </w:tc>
        <w:tc>
          <w:tcPr>
            <w:tcW w:w="2120" w:type="dxa"/>
            <w:gridSpan w:val="2"/>
            <w:shd w:val="clear" w:color="000000" w:fill="FFFFFF"/>
            <w:vAlign w:val="center"/>
          </w:tcPr>
          <w:p w14:paraId="03681C67">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医共体综合查询监管系统</w:t>
            </w:r>
          </w:p>
        </w:tc>
        <w:tc>
          <w:tcPr>
            <w:tcW w:w="8858" w:type="dxa"/>
            <w:vAlign w:val="center"/>
          </w:tcPr>
          <w:p w14:paraId="4C165D21">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按照多种分类业务指标分类方法（时间、地域、人群特征、业务特征等不同维度）进行综合查询，以满足不同用户的需要。</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辖区基础信息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卫生机构分析</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涉及卫生机构资源、卫生机构类型、地区卫生机构数、地区医疗机构数、相关医院等级统计、辖区医院等六个方面。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(1) 卫生机构资源：通过卫生机构分类来统计卫生机构个数、床位数、人员数量，也可以通过地区来统计各地区对应卫生机构个数、床位数、人员数量， 生成图表，方便用户查看本年度和上年度内类各卫生机构数量变化趋势。</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(2) 卫生机构类型：通过卫生机构分类来统计各类卫生机构数目（市、经济类型、主办单位），生成图表，方便用户查看本年度和上年度各类卫生机构数目变化趋势。</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(3) 地区卫生机构数：统计各类卫生机构数目，生产图表，方便用户查看本年度和上年度各类卫生机构数目变化趋势。（医院、疗养院、社区卫生服务中心等）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(4) 地区医疗机构数：统计各类医疗机构数目，生产图表，方便用户查看本年度和上年度各类医疗机构数目变化趋势。（医院、疗养院、卫生院等）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(5) 相关医院等级统计：统计各医疗机构对应各医院等级的医院数目，生成图表，方便用户查看本年度和上年度各医疗机构对应各医院等级情况变化趋势图。</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(6) 辖区医院等级：统计各医疗机构等级的医院数目，生成图表，方便用户查看本年度和上年度各医疗机构等级的医院数目变化趋势图。</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医疗机构床位</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涉及医院分类统计、医院统计、社区卫生和卫生院统计、各类医疗机构床位数、医疗机构床位数、每千人口医疗机构床位数等七个方面。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(1) 医院分类统计：通过卫生机构分类来统计辖区内卫生机构个数、床位数、人员数量，也可以通过地区来统计各地区对应卫生机构个数、床位数、人员数量， 生成图表，方便用户查看本年度和上年度内类各卫生机构数量变化趋势。</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(2) 辖区医院统计：根据床位数目区间统计各医院数目，生成报表。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(3) 社区卫生和卫生院统计：根据床位数目区间统计社区卫生服务中心和卫生院数目，生成报表。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(4) 各类医疗机构床位数：根据医疗机构类别统计各类医疗机构床位数，并且可以细分到村级、经济类型、管理类型、主办单位所对应的各类医疗机构床位数，生成报表。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(5) 辖区医疗机构床位数：统计各医疗机构类别对应的床位数量，生成报表；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(6) 每千人口医疗机构床位数：统计每千人口医疗机构床位数，生成报表；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卫生工作人员分析</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涉及辖区医疗机构人员、每千人口卫生技术人员等两个方面。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(1) 辖区医疗机构人员：统计辖区内医疗机构人员数量，医疗机构类别可分为：医院、乡镇卫生院、社区卫生服务中心，生成报表，方便用户本年度和上年度医疗机构人员数量变化率。</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(2) 每千人口卫生技术人员：统计辖区内所有医疗机构卫生技术人员数量、每千人口卫生技术人员数量，生成报表，方便用户查看本年度和上年度每千人口卫生技术人员数量变化率。</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医疗监管信息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门诊、住院诊断疾病排名展示，各医院每天门诊量展示，各医院每天入院、出院人数展示，平均住院费用展示，各医院每天的门诊、住院收入展示，医院收入变化趋势展示，平均住院处方费用及药占比展示等。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自定义查询页面设计平台。查询权限设置。各种所需数据的统计。根据查询用户的权限查阅各医院运行的信息和数据。临床医疗统计分析信息查询，临床医疗统计分析信息查询（含日门诊量、床位利用率等），医院各科室收支情况查询，医院各科室收支情况分析查询，财务管理统计、收支执行情况和科室核算分配信息，药品情况查询，医院药品出入库情况分析查询，药品会计核算和统计分析信息，各科工作量查询，住院病人情况查询，后勤保障。支持对各种数据可以以报表形式显示，且可以直方图、饼图、线型图等直观的方式展示，支持各种Excel文件的方式导出。</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综合监管与预警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通过图形、线条等多方式对设定的日常监测指标进行时刻监控和预警，并可通过短信、邮件等多种方式给予提醒。</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(1) 预警主页：可图形、线条等多方式对设定的日常监测指标进行时刻监控和预警，并可通过短信、邮件等多种方式给予提醒。</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(2) 预警设置：对预警进行逻辑设置，可设置公卫、医疗、药品三大业务体系600余个指标的警报数据。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(3) 指标设置：对指标进行辑设置，可设置公卫、医疗、药品三大业务体系600余个指标。</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(4) 数据管理：对指标的数据进行来源管理、口径管理等。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(5) 自动预警异常信息：当前置机运行异常时，系统自动发短消息到该机构负责人的手机，及时预警。</w:t>
            </w:r>
          </w:p>
        </w:tc>
      </w:tr>
      <w:tr w14:paraId="49C5E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trHeight w:val="3038" w:hRule="atLeast"/>
          <w:jc w:val="center"/>
        </w:trPr>
        <w:tc>
          <w:tcPr>
            <w:tcW w:w="523" w:type="dxa"/>
            <w:vMerge w:val="continue"/>
            <w:vAlign w:val="center"/>
          </w:tcPr>
          <w:p w14:paraId="39B526E7">
            <w:pPr>
              <w:widowControl/>
              <w:jc w:val="left"/>
              <w:rPr>
                <w:rFonts w:hint="eastAsia" w:ascii="宋体" w:hAnsi="宋体" w:eastAsia="宋体" w:cs="宋体"/>
                <w:color w:val="auto"/>
                <w:kern w:val="0"/>
                <w:sz w:val="20"/>
                <w:szCs w:val="20"/>
              </w:rPr>
            </w:pPr>
          </w:p>
        </w:tc>
        <w:tc>
          <w:tcPr>
            <w:tcW w:w="673" w:type="dxa"/>
            <w:vMerge w:val="continue"/>
            <w:vAlign w:val="center"/>
          </w:tcPr>
          <w:p w14:paraId="75A23498">
            <w:pPr>
              <w:widowControl/>
              <w:jc w:val="left"/>
              <w:rPr>
                <w:rFonts w:hint="eastAsia" w:ascii="宋体" w:hAnsi="宋体" w:eastAsia="宋体" w:cs="宋体"/>
                <w:color w:val="auto"/>
                <w:kern w:val="0"/>
                <w:sz w:val="20"/>
                <w:szCs w:val="20"/>
              </w:rPr>
            </w:pPr>
          </w:p>
        </w:tc>
        <w:tc>
          <w:tcPr>
            <w:tcW w:w="597" w:type="dxa"/>
            <w:vAlign w:val="center"/>
          </w:tcPr>
          <w:p w14:paraId="6AC8B2C3">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307ED34F">
            <w:pPr>
              <w:widowControl/>
              <w:jc w:val="left"/>
              <w:rPr>
                <w:rFonts w:hint="eastAsia" w:ascii="宋体" w:hAnsi="宋体" w:eastAsia="宋体" w:cs="宋体"/>
                <w:color w:val="auto"/>
                <w:kern w:val="0"/>
                <w:sz w:val="20"/>
                <w:szCs w:val="20"/>
              </w:rPr>
            </w:pPr>
          </w:p>
        </w:tc>
        <w:tc>
          <w:tcPr>
            <w:tcW w:w="2120" w:type="dxa"/>
            <w:gridSpan w:val="2"/>
            <w:shd w:val="clear" w:color="000000" w:fill="FFFFFF"/>
            <w:vAlign w:val="center"/>
          </w:tcPr>
          <w:p w14:paraId="0C7D49E8">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医共体业务报表管理系统</w:t>
            </w:r>
          </w:p>
        </w:tc>
        <w:tc>
          <w:tcPr>
            <w:tcW w:w="8858" w:type="dxa"/>
            <w:vAlign w:val="center"/>
          </w:tcPr>
          <w:p w14:paraId="3D88F258">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对公共卫生服务、医疗服务、基本药物等信息进行报表统计，支持自定义日常工作报表。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基药统计报表：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基药采购情况报表（自动生成、修改、保存、打印导出）。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基药申购配送情况报表（自动生成、修改、保存、打印导出）。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基药使用品种占比报表（自动生成、修改、保存、打印导出）。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基药使用金额占比报表（自动生成、修改、保存、打印导出）。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基本药物零差率销售实施情况报表（自动生成、修改、保存、打印导出）。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基药库存情况报表（自动生成、修改、保存、打印导出）。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 xml:space="preserve">公卫统计报表 </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卫统36-46报表。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自定义日常工作报表。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 xml:space="preserve">医疗服务报表 </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卫统报表。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自定义日常工作报表。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报表自动生成-卫统37。</w:t>
            </w:r>
          </w:p>
        </w:tc>
      </w:tr>
      <w:tr w14:paraId="5976A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4780BC64">
            <w:pPr>
              <w:widowControl/>
              <w:jc w:val="left"/>
              <w:rPr>
                <w:rFonts w:hint="eastAsia" w:ascii="宋体" w:hAnsi="宋体" w:eastAsia="宋体" w:cs="宋体"/>
                <w:color w:val="auto"/>
                <w:kern w:val="0"/>
                <w:sz w:val="20"/>
                <w:szCs w:val="20"/>
              </w:rPr>
            </w:pPr>
          </w:p>
        </w:tc>
        <w:tc>
          <w:tcPr>
            <w:tcW w:w="673" w:type="dxa"/>
            <w:vMerge w:val="continue"/>
            <w:vAlign w:val="center"/>
          </w:tcPr>
          <w:p w14:paraId="30C82F35">
            <w:pPr>
              <w:widowControl/>
              <w:jc w:val="left"/>
              <w:rPr>
                <w:rFonts w:hint="eastAsia" w:ascii="宋体" w:hAnsi="宋体" w:eastAsia="宋体" w:cs="宋体"/>
                <w:color w:val="auto"/>
                <w:kern w:val="0"/>
                <w:sz w:val="20"/>
                <w:szCs w:val="20"/>
              </w:rPr>
            </w:pPr>
          </w:p>
        </w:tc>
        <w:tc>
          <w:tcPr>
            <w:tcW w:w="597" w:type="dxa"/>
            <w:vAlign w:val="center"/>
          </w:tcPr>
          <w:p w14:paraId="0AC7C6CB">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2D22189D">
            <w:pPr>
              <w:widowControl/>
              <w:jc w:val="left"/>
              <w:rPr>
                <w:rFonts w:hint="eastAsia" w:ascii="宋体" w:hAnsi="宋体" w:eastAsia="宋体" w:cs="宋体"/>
                <w:color w:val="auto"/>
                <w:kern w:val="0"/>
                <w:sz w:val="20"/>
                <w:szCs w:val="20"/>
              </w:rPr>
            </w:pPr>
          </w:p>
        </w:tc>
        <w:tc>
          <w:tcPr>
            <w:tcW w:w="2120" w:type="dxa"/>
            <w:gridSpan w:val="2"/>
            <w:shd w:val="clear" w:color="000000" w:fill="FFFFFF"/>
            <w:vAlign w:val="center"/>
          </w:tcPr>
          <w:p w14:paraId="101701B9">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医共体移动查询监管系统</w:t>
            </w:r>
          </w:p>
        </w:tc>
        <w:tc>
          <w:tcPr>
            <w:tcW w:w="8858" w:type="dxa"/>
            <w:vAlign w:val="center"/>
          </w:tcPr>
          <w:p w14:paraId="5DA9E302">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支持通过移动端对医共体的重点指标进行移动监管，包括基本医疗服务、协同服务等。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汇报图治：</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基于指标汇总数据，结合仪表盘、地图、走势图、对比分析等多图形化方式实现指标特效展现，利用多媒体屏的方式实现重点指标数据的全方面、立体化的体现。</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重点指标：</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针对业务科室、部门重点关注指标数据的监测，可根据不同角色需求制定相关指标内容，方便用户便捷、准确地掌握相关区域指标情况。</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首页指标支持：</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对比图、构成图、柱状图、同比环比分析、走势图、仪表盘等多样图形展示。指标支持预警范围设置，支持通过邮件、短信、系统提醒等多种预警形式。</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统计监测：</w:t>
            </w:r>
            <w:r>
              <w:rPr>
                <w:rFonts w:hint="eastAsia" w:ascii="宋体" w:hAnsi="宋体" w:eastAsia="宋体" w:cs="宋体"/>
                <w:b/>
                <w:bCs/>
                <w:color w:val="auto"/>
                <w:kern w:val="0"/>
                <w:sz w:val="20"/>
                <w:szCs w:val="20"/>
              </w:rPr>
              <w:br w:type="textWrapping"/>
            </w:r>
            <w:r>
              <w:rPr>
                <w:rFonts w:hint="eastAsia" w:ascii="宋体" w:hAnsi="宋体" w:eastAsia="宋体" w:cs="宋体"/>
                <w:color w:val="auto"/>
                <w:kern w:val="0"/>
                <w:sz w:val="20"/>
                <w:szCs w:val="20"/>
              </w:rPr>
              <w:t>业务科室部门对各医疗卫生机构开展日常统计、查询、核对、考评等，按照监测功能类别，针对收入情况、服务情况、人员情况、重点人群、医保情况等提供多角度、多组合条件的表格数据展示。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决策分析：利用相关指标数据，为决策管理层提供基于大数据的多维统计分析，将数据以决策树、雷达图、散点分布、热力图、K线图等多图形方式展现，方便管理者全方面、系统化、深度地掌握相应指标情况，评估风险。为后续工作调整、决策制定提供数据支撑。</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医药价格监测:</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包括对所有药品（不含中药饮片）是否在规定时间内取消加成，是否进行改革前后的价格公示。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包括医疗服务价格，各医院是否按要求执行新调整的医疗服务价格目录。</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医疗费用情况监测:</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医院医疗服务收入，包括门诊收入、住院收入情况；收入构成情况，包括门诊次均费用、住院人均费用、药占比等情况。</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医疗服务量监测:</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医疗服务量监测，包括门诊人次，包括普通门诊人次、副主任医师、主任医师、知名专家门诊人次；入院人次，出院人次；CT、核磁共振、PET检查人次、手术人次等。包括可以对基层服务量单独进行监测。</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协同业务量监测：</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对双向转诊上转、下转业务量统计分析、电子病历共享情况（医生调阅、病人调阅）、区域影像、临检、心电的业务量统计（已处理、未处理）、协同业务开展的时效性分析等。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医保情况监测:</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医保情况监测，包括门诊诊察费报销金额；出院患者发生医药总费用，医保报销费用；诊察费、床位费金额。</w:t>
            </w:r>
          </w:p>
        </w:tc>
      </w:tr>
      <w:tr w14:paraId="76BEC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restart"/>
            <w:vAlign w:val="center"/>
          </w:tcPr>
          <w:p w14:paraId="3792E952">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673" w:type="dxa"/>
            <w:vMerge w:val="restart"/>
            <w:vAlign w:val="center"/>
          </w:tcPr>
          <w:p w14:paraId="1A0DC88E">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基层大健康提质升级工程</w:t>
            </w:r>
          </w:p>
        </w:tc>
        <w:tc>
          <w:tcPr>
            <w:tcW w:w="597" w:type="dxa"/>
            <w:shd w:val="clear" w:color="000000" w:fill="FFFFFF"/>
            <w:vAlign w:val="center"/>
          </w:tcPr>
          <w:p w14:paraId="1DD3BA4B">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restart"/>
            <w:shd w:val="clear" w:color="000000" w:fill="FFFFFF"/>
            <w:vAlign w:val="center"/>
          </w:tcPr>
          <w:p w14:paraId="5E9E8664">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基层医疗信息系统</w:t>
            </w:r>
          </w:p>
        </w:tc>
        <w:tc>
          <w:tcPr>
            <w:tcW w:w="2120" w:type="dxa"/>
            <w:gridSpan w:val="2"/>
            <w:shd w:val="clear" w:color="000000" w:fill="FFFFFF"/>
            <w:vAlign w:val="center"/>
          </w:tcPr>
          <w:p w14:paraId="02969E8C">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基本医疗服务系统</w:t>
            </w:r>
          </w:p>
        </w:tc>
        <w:tc>
          <w:tcPr>
            <w:tcW w:w="8858" w:type="dxa"/>
            <w:vAlign w:val="center"/>
          </w:tcPr>
          <w:p w14:paraId="674D09C5">
            <w:pPr>
              <w:widowControl/>
              <w:jc w:val="left"/>
              <w:rPr>
                <w:rFonts w:hint="eastAsia" w:ascii="宋体" w:hAnsi="宋体" w:eastAsia="宋体" w:cs="宋体"/>
                <w:color w:val="auto"/>
                <w:kern w:val="0"/>
                <w:sz w:val="20"/>
                <w:szCs w:val="20"/>
              </w:rPr>
            </w:pPr>
            <w:r>
              <w:rPr>
                <w:rFonts w:hint="eastAsia" w:ascii="宋体" w:hAnsi="宋体" w:eastAsia="宋体" w:cs="宋体"/>
                <w:b/>
                <w:bCs/>
                <w:color w:val="auto"/>
                <w:kern w:val="0"/>
                <w:sz w:val="20"/>
                <w:szCs w:val="20"/>
              </w:rPr>
              <w:t>门诊排班</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排班周视图、月视图，并支持复制本周、本月排班生成下周、下月排班；支持根据坐诊时间、限号数、限约数、间隔数、人数，快速生成时段排班；支持预览排班结果；（提供软件界面截图，需包含对应项功能描述中全部内容）</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挂号</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病人通过多种证件刷卡挂号：包括身份证、医保卡、健康卡；支持病人通过多终端进行挂号：包括挂号窗口挂号、门诊医生站挂号、微信挂号、自助机挂号等方式；支持选择不同的费用策略挂号；支持快速套用历史挂号信息；支持挂号至具体科室、具体医生、具体时间；</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挂号记录：支持通过登记人、就诊日期、病人姓名、病人身份证、病人挂号单号、病人费用单号等条件查询挂号记录；支持查看挂号异常记录；</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待取号记录：支持通过登记人、就诊日期、病人姓名、病人身份证、病人挂号单号、病人费用单号等条件查询待取号记录；支持直接取号；支持取消预约；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新建患者档案：支持新患者的快速建档，建档信息与公卫系统实时共享；</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划价收费</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通过待收患者列表快速选择患者；通过姓名、身份证、健康卡等多种方式检索患者，也支持刷身份证、医保卡、健康卡快速定位患者，并且进行快速挂号；支持自动获取开单费用；支持手动新增费用；支持选择成套费用方案；支持现金、一卡通、支付宝、微信等多种支付方式；</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已收费记录：支持通过时间、病人姓名、病人简码、病人身份证号、收费号等多种条件查询已收费记录；支持退费、补打发票、重打发票等操作；支持查看结算明细及费用明细；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费用划价：支持通过患者挂号记录列表快速选择患者；支持通过姓名、身份证、健康卡等多种方式检索患者，也支持刷身份证、医保卡、健康卡快速定位患者；支持手动新增划价项目，也支持通过方案快速划价；根据患者将会自动加载代收费项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已划价：支持根据时间、病人信息、划价人等条件查询划价记录；支持打印划价记录；支持生成统计报表；支持修改划价信息；支持查看划价明细；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缴款书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自动汇集缴款信息，一键缴款，生成缴款书；</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全科（门诊）医生工作站</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患者列表：提供了包括候诊患者列表以及我关注的患者列表，方便医生直接对列表内的患者进行操作；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公卫随访：提供公卫随访任务列表；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签约到期：提供签约到期的患者列表，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就诊趋势：展示门诊最近就诊趋势，包括门诊量及预约量；</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使用帮助：展示系统使用帮助公告；</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重点指标展示：包括今日接诊量、今日挂号量、累计接诊量、今日预约量；</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门诊病历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支持不同机构、科室不同的病历结构；支持模板快速导入、历史病历导入；处置通过医嘱导入；即往史、过敏史支持结构化录入；支持元素级灵活配置；支持一键快速签名；支持一键打印；</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门诊医嘱</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支持多种医嘱下发方式：简拼检索、分类下达、历史导入、方案导入、常用导入；支持对接合理用药；门诊病历、单据一键打印；支持医嘱上下拖动顺序、自由组合；遵循ICD-10标准诊断目录、ICD-9- CM3标准手术目录；设置医嘱选项默认值等。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报告查看</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支持查看院内门诊、住院所有就诊报告；以单次就诊为单位，整合报告；报告异常结果醒目标注；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报告对比：检验同类型报告，一页表格式对比趋势；检查同类型报告，横向排列对比结果；</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其他便捷功能：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医生站挂号：支持在全科（门诊）医生站直接给患者挂号；</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单据集中打印：支持在全科（门诊）医生站直接打印所需要的单据；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转科转诊：支持在全科（门诊）医生站进行院内转科转诊；</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入院申请：全科（门诊）医生站可以直接进行入院申请，包括填写入院途径、入院病情、入院科室等信息；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医生站收费：支持在全科（门诊）医生站进行收费；</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消息提醒：在门诊医生站进行危急值提醒、报告提醒、传染病上报提醒、建档提醒、签约提醒；</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门诊护士工作站</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支持通过姓名、身份证号等多种条件检索患者；病人信息突出显示，执行内容及状态更加直观显示，确保护士可以精准执行；多频率项目自动拆分执行；支持打印瓶签或执行单；</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书写护理病理：提供护理文书书写的快捷入口，书写护理文书更加便捷高效；</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入院管理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入院登记：接受门诊入院申请，患者信息自动加载；支持刷身份证、医保卡、健康卡快速定位患者；支持外接平台，接收住院转入患者，同步患者基本信息；支持编辑基本档案信息，并实现医卫联动，发送档案更新提醒到公卫系统；</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入院记录查询：支持多维度查询入院记录；</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支持登记担保、支持登记保险；</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病人管理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病人管理：查询在院、出院病人信息及预约住院患者信息，并可修改基本信息和入院信息。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支持对患者进行入科、撤销入科、换床、转病区、预出院、出院等操作；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出院登记：提供病人预出院、出院登记。支持所有操作的撤消。</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床位维护：维护病区内床位，支持同一病区对应多科室的床位。</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记账管理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记账：支持关键字智能查询患者；支持单个患者单独记账、多个患者批量同时记账，支持批量保存；支持手动新增记账项目；支持导入方案项目记账；支持引用病人本次住院治疗方案，方案与住院护士站共享；</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记账记录：支持查询记账记录；支持挂接记账报表；按照单个患者展示记账记录与记账明细；支持修改记账记录；支持销账登记；</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结账管理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结账：支持出院结账、中途结账；支持自动加载病人未结项目清单；支持母亲、婴儿收费项目分别查看，一并结账；支持医保费用与自费费用分开结帐；系统根据医嘱状态，自动预警，包括提醒、禁止；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多种支付方式：支持微信、支付宝、现金、一卡通等多种方式结账；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支持发票静默打印；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结账记录：支持查询结账记录；支持挂接记账报表；支持重打、补打发票；按照不同颜色展示结账状态；</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预交管理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关键字智能查询患者、支持刷身份证、健康卡快速定位患者；支持分科室预交；支持微信、支付宝、现金、一卡通等多种方式结账；支持发票静默打印、重打、补打；支持查看当前患者的预交记录；支持预交退款登记；支持补充打印预交发票；支持打印缴款书；支持挂接自定义报表；按照患者展示预交明细；按照不同颜色区分预交状态；</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病人费用查询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支持分科室查询在院、预出院、已出院患者，支持快速记账、销账、打印记账单、预结算，支持查询医嘱记录、医嘱发送明细、医嘱计价明细。</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报警线管理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支持每日费用、累积费用报警线分别设置预警值。支持多条预警规则同时进行。</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自动计算管理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支持床位费、护理费、指定费用自动计算设置。</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住院医生站</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我的病人：提供了我的病人的列表，方便医生直接对列表内的患者进行操作；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待办任务：提供公卫随访任务列表；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签约到期：提供签约到期的患者列表；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就诊趋势：展示门诊最近就诊趋势，包括门诊量及预约量；</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使用帮助：展示系统使用帮助公告；</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重点指标展示：包括今日接诊量、今日挂号量、累计接诊量、今日预约量；</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嘱记录：支持多种业务场景的住院医嘱发送流程；根据医嘱分类、医嘱类型，配备不同医嘱申请模板；支持多种医嘱下发方式；支持对接合理用药；支持补录住院医嘱；支持医嘱计价统计、支持医嘱发送统计；支持医嘱一键发送；支持设置医嘱选项默认值。</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临床诊断：遵循电子病历标准规范，初始化标准诊断目录；遵循ICD-10标准诊断目录、ICD-9- CM3标准手术目录；支持各类型临床诊断相互引用，快速导入诊断；系统自动同步门诊诊断，并自动填充；</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临床首页：提供患者的基本信息、诊断信息、手术信息及费用信息；</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住院病历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支持模板快速导入，支持历史病历导入；即往史、过敏史支持结构化录入；支持元素级灵活配置；支持一键快速签名、打印。支持病历审定、病历质控；</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病历审订：病历完成书写过后，可以进行提交审订操作，支持批量提交，并支持查看审定历程。</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报告查看：住院医生站与LIS、PACS业务协同，下达医嘱自动传输，报告发布自动调阅；可查看院内门诊、住院所有就诊报告；支持以单次就诊为单位，整合报告；实现报告异常结果醒目标注；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报告对比：检验同类型报告，一页表格式对比趋势；检查同类型报告，横向排列对比结果；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医嘱审核：提供医嘱审核功能，支持一键批量审核；</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危急值处理：支持当患者出现危急值，将会进行提醒，住院医生可对危急值进行处理，同时记录处理情况；支持查看危急值相关完整报告；</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住院医嘱方案处理：住院医生可以新增并维护常用的住院医嘱方案；支持中药配方设置；支持导入方案；</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护理记录查看：住院医生可以查看患者的护理记录，包括体温单和护理记录单；</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病人管理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对患者进行入科、撤销入科、换床、转病区、预出院、出院等操作；支持对患者的医嘱进行校对、手动发送、自动发送、停止、批量停止长嘱等操作，并且对发送失败的医嘱进行记录；提供快速记账、查看记账记录、查看费用记录、销账等功能；支持对患者进行特殊标记、腕带打印、床头卡打印等操作；</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病人处置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患者列表：患者分类展示，支持对患者进行特殊标记、腕带打印、床头卡打印、换床、换病区、预出院、出院、撤销出院等操作，还支持进行新生儿登记；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医嘱记录：提供医嘱的校对、发送、回退、执行、计价、长期医嘱停止等功能，同时还可以进行发药查询、执行单打印、批量打印申请单等功能；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医嘱执行：包括医嘱筛选、医嘱执行、取消执行、批量执行、打印执行单等功能；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护理记录：包括体温录入、病人事件录入、护理记录录入、体温单展示、护理单展示、护理单打印、护理单续打、呼吸机、起搏器使用记录、入出量提取等功能；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护理文书：提供护理文书书写、住院病历查看等功能；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费用记录：提供费用记录清单、手动记账、引用单据结账、销账申请等功能；</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护理管理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批量录入：住院护士可批量录入护理信息，包括：体温单、一般护理记录单、危重护理记录单、特殊护理记录单；</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入出量记录：支持住院护士查看住院病人入出量信息，支持手动新增入出量结果，支持导入医嘱自动生成入出量结果；</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费用管理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持续记账：为住院护士提供持续记账功能，支持根据医嘱自动生成记账明细，支持根据实际情况完善记账信息；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销账审核：有权限的住院护士可在销账审核处查看其他人提交的销账申请，并进行审核，支持单个审核、批量审核，支持查询审核记录；</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一日清单：为住院护士提供所有在院病人的一日费用清单，支持自定义查询，支持预览，支持单人打印、批量打印；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催款单：住院护士可查询所以欠款病人的欠款信息，支持生成并导出excel，支持在线预览催款单，支持单人打印、批量打印；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批量预结：调用医保接口进行医保病人预结算，自动计算各帐户结算的金额以及医保可报销的金额，支持批量预结算；</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医嘱单：支持打印临嘱、长嘱，提供连续打印、重新打印、停嘱打印、清除重打等功能；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检验采集：可完成住院病人检验标本采集并登记，并同步信息到检验科室；</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发药查询：可进行药品发送的明细查询；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药库管理：药品计划：支持手动生成、自动生成药品计划；支持编制周计划、月度计划、季度计划、年度计划；支持药品计划记录的查询、审核、删除以及打印等。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外购入库：支持手动新增入库，按照采购计划入库到不同库房，内置供应商名单，支持选择供应商；支持查询外购入库记录；支持打印入库单据；支持按照单据进行入库药品冲销；</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药品申领：药品查询、药品选择；支持根据药品批次申请；支持根据库存限制申领；支持查询申领记录；支持打印申领单据；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药品领用：药品查询、药品选择；支持直接新增领用登记；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药品调拨：支持辖区内不同机构不同库房的药品调拨；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药品移库：支持同一机构不同库房的药品调拨；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药品盘点：支持根据多个维度的盘点规则，自由组合成上百余种盘点方案。当出现实际盘点结果与系统中出现差异，系统将自动进行校对。当支持盘点作废，支持打印盘点结果；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库存查询：支持分库房、分类型、分基药等条件查询；提供库存警戒、失效药品、药品费用总账、药品记录明细等查询功能；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其他入库/出库：支持初始入库、捐赠入库、调拨入库、盘盈入库等多种入库方式，支持毁损出库、盘亏出库、初始出库等多种出库方式；</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药房管理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处方发药：支持自动加载已缴费、未发药处方清单；支持刷身份证、医保卡、健康卡快速定位病人；</w:t>
            </w:r>
          </w:p>
          <w:p w14:paraId="117CAB28">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▲支持处方明细、处方签两种视图；支持查看已发放记录；支持退药、退料登记；（提供软件界面截图，需包含对应项功能描述中全部内容）</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部门发药：支持根据不同住院部门发药；支持自定义发药方案；支持引用发药方案快速配药；支持单个发药、批量发药；支持根据中药单据发药；支持西药未发药汇总统计；支持查看西药已发放清单；支持退药、退药审核。</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卫生材料管理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支持卫生材料单独发放；支持自动加载未发料清单；支持批量发料；支持已发料汇总统计；支持已发料记录查看；支持退料登记；</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抗菌药物管理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用药权限：抗菌药物权限分级控制：非限制使用、限制使用、特殊使用；支持配置全院医生抗菌药物用药权限；支持门诊、住院分别设置权限；内置抗菌药物使用标准，支持根据医生职称自动生成用药权限；支持个性化调整权限；</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用药审核：支持无权限医生发起抗菌药物申请；支持高职称医生进行用药审核；支持查看已审核记录；</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用药分析：支持抗菌药用药统计分析，包括：用药趋势图、科室用药分布、门诊住院用药比例、医生用药TOP5等；支持抗菌药使用率查询；支持抗菌药用药明细查询；</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病案管理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病案管理主要是对已出院病人的病案，通过病案管理进行分类、建档，从而达到科学的管理。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归档管理：支持病案归档管理，包括对病案进行回收（支持出院日期、出院科室、关键字搜索等维度进行病案查询，选定运送人对病案进行回收操作）、取消回收、编目（对已经回收的病案进行编目处理）、修改编目、取消编目、上架、取消上架等操作。支持出院日期、编目日期、出院科室、责任医生、病案状态、关键字搜索等维度进行病案查询。同时，支持对病案示踪，能在示踪轴上查看病案完整的流转过程。对首页质控结果进行智能监控详情展示、人工质控详情展示。</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首页质控：病案首页质控实现包括内容和管理的质控。</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调阅管理：支持病案调阅管理，支持通过申请日期、状态、申请人查询病案，并对病案做调阅授权管理。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借阅管理：需支持对病案借阅管理，包括查询借阅情况、借阅登记、归还登记等操作。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上报管理：支持上报系统的新增、修改和删除。支持与上报系统进行编码对照，包括对码情况查询、导入对码项目、自动对码等操作。支持对上报数据进行管理，包括导出上报数据、新增上报项目、上报指标、修改上报项目、上报指标等操作。</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一卡通</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支持区域内所有机构统一管理也支持单家医院管理；支持定义两种类型卡片：身份识别卡、支付卡；持一人一卡、一人多卡；支持多种费用策略进行选择；支持定义发票打印方式；</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财务监控</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票据管理：对收费收据、结账收据、预交收据进行入库、出库、报损管理；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票据监管：按照批次记录纸质票据、电子票据的使用记录、核对记录、报损记录；</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缴款书：提供缴款登记、缴款记录查询、打印缴款书等功能；</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物资管理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建立满足基层医疗机构物资管理管控的物资供应链体系，实现对药剂，高值耗材，低值耗材和办公用品等所有物资的采购，入库，出库，盘点，结算等流程的过程管理。具体功能应包含：采购计划、采购入库、申领管理、核收入库、出库管理、其他入库/出库、盘点管理、月结管理、综合查询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综合查询：支持对物资管理各个环节的数据查询，包含入库查询（支持入库记录及入库记录明细导出等）、出库查询（支持出库记录及出库记录明细导出等）、盘点查询（支持盘点记录及盘点记录明细导出等）、库存查询（支持库存记录及库存记录明细导出等）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院长查询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提供按照医院需求个性化定制统计报表格式。</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提供医院资源方面的统计报表如收费项目、科室资源等。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提供医疗经济信息方面的统计报表如全院收入、分科收入、未结费用等。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提供医疗动态方面的统计报表如门急诊人次、在院病人分布等。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提供效率质量方面的统计报表如质量、工作量分析、费用分析等。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提供药品、卫材方面的统计报表如用药分析、流向跟踪等。</w:t>
            </w:r>
          </w:p>
        </w:tc>
      </w:tr>
      <w:tr w14:paraId="7D8F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0FDE1CFD">
            <w:pPr>
              <w:widowControl/>
              <w:jc w:val="left"/>
              <w:rPr>
                <w:rFonts w:hint="eastAsia" w:ascii="宋体" w:hAnsi="宋体" w:eastAsia="宋体" w:cs="宋体"/>
                <w:color w:val="auto"/>
                <w:kern w:val="0"/>
                <w:sz w:val="20"/>
                <w:szCs w:val="20"/>
              </w:rPr>
            </w:pPr>
          </w:p>
        </w:tc>
        <w:tc>
          <w:tcPr>
            <w:tcW w:w="673" w:type="dxa"/>
            <w:vMerge w:val="continue"/>
            <w:vAlign w:val="center"/>
          </w:tcPr>
          <w:p w14:paraId="570AE076">
            <w:pPr>
              <w:widowControl/>
              <w:jc w:val="left"/>
              <w:rPr>
                <w:rFonts w:hint="eastAsia" w:ascii="宋体" w:hAnsi="宋体" w:eastAsia="宋体" w:cs="宋体"/>
                <w:color w:val="auto"/>
                <w:kern w:val="0"/>
                <w:sz w:val="20"/>
                <w:szCs w:val="20"/>
              </w:rPr>
            </w:pPr>
          </w:p>
        </w:tc>
        <w:tc>
          <w:tcPr>
            <w:tcW w:w="597" w:type="dxa"/>
            <w:vAlign w:val="center"/>
          </w:tcPr>
          <w:p w14:paraId="575204CE">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008F28EF">
            <w:pPr>
              <w:widowControl/>
              <w:jc w:val="left"/>
              <w:rPr>
                <w:rFonts w:hint="eastAsia" w:ascii="宋体" w:hAnsi="宋体" w:eastAsia="宋体" w:cs="宋体"/>
                <w:color w:val="auto"/>
                <w:kern w:val="0"/>
                <w:sz w:val="20"/>
                <w:szCs w:val="20"/>
              </w:rPr>
            </w:pPr>
          </w:p>
        </w:tc>
        <w:tc>
          <w:tcPr>
            <w:tcW w:w="2120" w:type="dxa"/>
            <w:gridSpan w:val="2"/>
            <w:shd w:val="clear" w:color="000000" w:fill="FFFFFF"/>
            <w:vAlign w:val="center"/>
          </w:tcPr>
          <w:p w14:paraId="0F2200FD">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电子病历系统</w:t>
            </w:r>
          </w:p>
        </w:tc>
        <w:tc>
          <w:tcPr>
            <w:tcW w:w="8858" w:type="dxa"/>
            <w:vAlign w:val="center"/>
          </w:tcPr>
          <w:p w14:paraId="268CAB2D">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系统需遵循《病历书写基本规范》，包括病历文书、门诊病历、住院病历、护理病历、电子病历浏览器、电子病历质控等功能，具体如下：</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病历文书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支持根据不同业务场景，配备不同病历文书，包括门诊病历、住院病历、护理病历、知情同意书、诊疗文书、其他文书；</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病历配置：支持电子病历基础配置功能，包括：元素管理、词句管理、提纲管理、原型管理、原型设计等功能。</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门诊病历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书写任务：系统根据提前定义好的业务事件规则自动生成文书任务，可指定书写时限，提醒书写，包括入院、手术、麻醉、输血、病危、特殊检查、特殊检验、转科、传染病、出院、死亡等多种业务。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便捷引用：为了更方便医生书写病历，系统需提供便捷引用的功能，包括检查结果插入、医嘱插入、范文导入、检验结果插入、恒牙符号插入、乳牙符号插入、月经史插入、医学符号插入、批注插入、特殊符号插入、危急值插入、医嘱插入等。（提供软件界面截图，需包含对应项功能描述中全部内容）</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值域校验：提供值域校验功能，当病历内容出现明显错误，系统进行实时校验，然后书写界面将会直接进行显著提醒。</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多场景提醒：提供多场景提醒功能，包括书写提醒、保存提醒、单独提醒；</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住院病历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书写任务：系统根据提前定义好的业务事件规则自动生成文书任务，可指定书写时限，提醒书写，包括入院、手术、麻醉、输血、病危、特殊检查、特殊检验、转科、传染病、出院、死亡等多种业务。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便捷引用：为了更方便医生书写病历，系统需提供便捷引用的功能，包括检查结果插入、医嘱插入、范文导入、检验结果插入、恒牙符号插入、乳牙符号插入、月经史插入、医学符号插入、批注插入、特殊符号插入、危急值插入、医嘱插入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值域校验：提供值域校验功能，当病历内容出现明显错误，系统进行实时校验，然后书写界面将会直接进行显著提醒。</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多场景提醒：提供多场景提醒功能，包括书写提醒、保存提醒、单独提醒；</w:t>
            </w:r>
            <w:r>
              <w:rPr>
                <w:rFonts w:hint="eastAsia" w:ascii="宋体" w:hAnsi="宋体" w:eastAsia="宋体" w:cs="宋体"/>
                <w:color w:val="auto"/>
                <w:kern w:val="0"/>
                <w:sz w:val="20"/>
                <w:szCs w:val="20"/>
                <w:shd w:val="clear" w:color="auto" w:fill="FF0000"/>
              </w:rPr>
              <w:br w:type="textWrapping"/>
            </w:r>
            <w:r>
              <w:rPr>
                <w:rFonts w:hint="eastAsia" w:ascii="宋体" w:hAnsi="宋体" w:eastAsia="宋体" w:cs="宋体"/>
                <w:b/>
                <w:bCs/>
                <w:color w:val="auto"/>
                <w:kern w:val="0"/>
                <w:sz w:val="20"/>
                <w:szCs w:val="20"/>
              </w:rPr>
              <w:t>护理病历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护理记录：包括体温录入、病人事件录入、护理记录录入、体温单展示、护理单展示、护理单打印、护理单续打、呼吸机、起搏器使用记录、入出量提取等功能；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护理文书：提供护理文书书写、住院病历查看等功能；</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电子病历浏览器</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查看病人的基本信息、诊断信息、病历列表、处方信息、检查单及异常结果、检验单及异常结果。支持在院病人体温单、电子病历、长期医嘱、临时医嘱、检查、检验等相关信息查看。查看留痕，支持查看访问者所在机构、访问者、访问时间。（提供软件界面截图，需包含对应项功能描述中全部内容）</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支持电子病历水印保护，浏览内容上有水印，水印包括浏览者所在机构、浏览者姓名、浏览者时间，拍照或者截图会包含这些信息。</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电子病历质控管理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系统需实现“医生书写质控”，“运行质控”、“科内质控”、“终末质控”、“抽查质控”等功能，通过完善严密的消息反馈机制实现各临床诊疗工作站与本系统之间的实时互动，针对病历文书内容进行检测，自动提醒缺陷及说明，并自动评分评级，供临床医生、质控人员参考，实现对电子病历质量的整体控制。</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产品功能需包括：医生书写质控、运行质控、科内质控、终末质控、抽查质控、质控分析、质控规则管理等。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生书写质控：提供医生书写界面提示，系统自动检查发现的病历质量问题。提供院内医务科或质控专员查询运行病历质控的列表的功能。支持系统自动对书写不合格或者没有达标的病历进行质控。并支持质控人员对患者病历的审核操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科内质控：提供科内质控人员查询科内质控患者列表的功能，支持质控人员对患者病历的集中浏览、实现病历审核、添加及移除违反规则、违反规则明细。（提供软件界面截图，需包含对应项功能描述中全部内容）</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终末质控：提供病历质控员查询终末质控患者列表的功能，并支持对出院患者病历集中浏览、实现病历审核、添加及移除违反规则、违反规则明细、并发送质控消息的功能；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抽查质控：支持对已归档病历设置抽查条件的随机抽查质控。</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质控分析：提供科室及全院的电子病历质控分析。</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质控规则管理：支持质控规则、方案规则的管理等。</w:t>
            </w:r>
          </w:p>
        </w:tc>
      </w:tr>
      <w:tr w14:paraId="36F50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0AA08EA3">
            <w:pPr>
              <w:widowControl/>
              <w:jc w:val="left"/>
              <w:rPr>
                <w:rFonts w:hint="eastAsia" w:ascii="宋体" w:hAnsi="宋体" w:eastAsia="宋体" w:cs="宋体"/>
                <w:color w:val="auto"/>
                <w:kern w:val="0"/>
                <w:sz w:val="20"/>
                <w:szCs w:val="20"/>
              </w:rPr>
            </w:pPr>
          </w:p>
        </w:tc>
        <w:tc>
          <w:tcPr>
            <w:tcW w:w="673" w:type="dxa"/>
            <w:vMerge w:val="continue"/>
            <w:vAlign w:val="center"/>
          </w:tcPr>
          <w:p w14:paraId="4C8CCA2C">
            <w:pPr>
              <w:widowControl/>
              <w:jc w:val="left"/>
              <w:rPr>
                <w:rFonts w:hint="eastAsia" w:ascii="宋体" w:hAnsi="宋体" w:eastAsia="宋体" w:cs="宋体"/>
                <w:color w:val="auto"/>
                <w:kern w:val="0"/>
                <w:sz w:val="20"/>
                <w:szCs w:val="20"/>
              </w:rPr>
            </w:pPr>
          </w:p>
        </w:tc>
        <w:tc>
          <w:tcPr>
            <w:tcW w:w="597" w:type="dxa"/>
            <w:vAlign w:val="center"/>
          </w:tcPr>
          <w:p w14:paraId="5034D459">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15C3366C">
            <w:pPr>
              <w:widowControl/>
              <w:jc w:val="left"/>
              <w:rPr>
                <w:rFonts w:hint="eastAsia" w:ascii="宋体" w:hAnsi="宋体" w:eastAsia="宋体" w:cs="宋体"/>
                <w:color w:val="auto"/>
                <w:kern w:val="0"/>
                <w:sz w:val="20"/>
                <w:szCs w:val="20"/>
              </w:rPr>
            </w:pPr>
          </w:p>
        </w:tc>
        <w:tc>
          <w:tcPr>
            <w:tcW w:w="2120" w:type="dxa"/>
            <w:gridSpan w:val="2"/>
            <w:shd w:val="clear" w:color="000000" w:fill="FFFFFF"/>
            <w:vAlign w:val="center"/>
          </w:tcPr>
          <w:p w14:paraId="7D0B89C6">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医学影像系统</w:t>
            </w:r>
          </w:p>
        </w:tc>
        <w:tc>
          <w:tcPr>
            <w:tcW w:w="8858" w:type="dxa"/>
            <w:vAlign w:val="center"/>
          </w:tcPr>
          <w:p w14:paraId="3EB16824">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典型病例管理：对典型病例的收藏和统一管理。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登记工作站：支持与HIS互联互通，自动获取医嘱信息并加载待登记病人列表；支持针对体检、公卫服务等情况手动登记新检查；支持查看登记列表，可查看申请单、查看报告、打印报告；支持新增或修改病人档案，并推送消息到公卫系统；</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▲放射工作站：支持放射工作站直接进行登记、查看报告、对比报告、观片以及书写报告时的词句引用。（提供软件界面截图，需包含对应项功能描述中全部内容）</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超声工作站：支持对超声检查的登记、图像采集、图像处理、词句引用及历史报告对比等。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统计查询：系统提供多维度的统计查询，包括临床符合率统计、阳性率统计、申请医生工作量统计、诊断医生工作量统计、审核医生工作量统计、设备摄影量统计、图像质量统计等。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基础管理：支持检查项目、设备目录、检查号码、检查诊室、报告词句、检查部位、检查模板、报告提纲等的管理。</w:t>
            </w:r>
          </w:p>
        </w:tc>
      </w:tr>
      <w:tr w14:paraId="6DC63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710BB78F">
            <w:pPr>
              <w:widowControl/>
              <w:jc w:val="left"/>
              <w:rPr>
                <w:rFonts w:hint="eastAsia" w:ascii="宋体" w:hAnsi="宋体" w:eastAsia="宋体" w:cs="宋体"/>
                <w:color w:val="auto"/>
                <w:kern w:val="0"/>
                <w:sz w:val="20"/>
                <w:szCs w:val="20"/>
              </w:rPr>
            </w:pPr>
          </w:p>
        </w:tc>
        <w:tc>
          <w:tcPr>
            <w:tcW w:w="673" w:type="dxa"/>
            <w:vMerge w:val="continue"/>
            <w:vAlign w:val="center"/>
          </w:tcPr>
          <w:p w14:paraId="698DD2D2">
            <w:pPr>
              <w:widowControl/>
              <w:jc w:val="left"/>
              <w:rPr>
                <w:rFonts w:hint="eastAsia" w:ascii="宋体" w:hAnsi="宋体" w:eastAsia="宋体" w:cs="宋体"/>
                <w:color w:val="auto"/>
                <w:kern w:val="0"/>
                <w:sz w:val="20"/>
                <w:szCs w:val="20"/>
              </w:rPr>
            </w:pPr>
          </w:p>
        </w:tc>
        <w:tc>
          <w:tcPr>
            <w:tcW w:w="597" w:type="dxa"/>
            <w:vAlign w:val="center"/>
          </w:tcPr>
          <w:p w14:paraId="00DDB575">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vMerge w:val="continue"/>
            <w:vAlign w:val="center"/>
          </w:tcPr>
          <w:p w14:paraId="548703F2">
            <w:pPr>
              <w:widowControl/>
              <w:jc w:val="left"/>
              <w:rPr>
                <w:rFonts w:hint="eastAsia" w:ascii="宋体" w:hAnsi="宋体" w:eastAsia="宋体" w:cs="宋体"/>
                <w:color w:val="auto"/>
                <w:kern w:val="0"/>
                <w:sz w:val="20"/>
                <w:szCs w:val="20"/>
              </w:rPr>
            </w:pPr>
          </w:p>
        </w:tc>
        <w:tc>
          <w:tcPr>
            <w:tcW w:w="2120" w:type="dxa"/>
            <w:gridSpan w:val="2"/>
            <w:shd w:val="clear" w:color="000000" w:fill="FFFFFF"/>
            <w:vAlign w:val="center"/>
          </w:tcPr>
          <w:p w14:paraId="5AAF4ED4">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实验室信息系统</w:t>
            </w:r>
          </w:p>
        </w:tc>
        <w:tc>
          <w:tcPr>
            <w:tcW w:w="8858" w:type="dxa"/>
            <w:vAlign w:val="center"/>
          </w:tcPr>
          <w:p w14:paraId="1270003F">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质控管理：针对质控品、质控仪器、质控规则的统一管理。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标本流向：追踪单个标本流向，实现标本全生命周期正反向追溯；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采集工作站：实现标本采集、登记、新增检验申请等。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技师工作站：支持临床、医技一体化应用，自动获取检验结果与报告，并支持院内、院外检验业务、标本流向追踪等。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签收工作站：支持标本的签收查询，签收单打印等。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外送工作站：支持标本外送及外送查询。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快速采集站：提供快速采集站，实现标本的快捷采集、批量采集、登记及条码打印。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住院采集站：支持对住院病人进行快速采集、打印条码等操作。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基础管理：支持对采集方式、检验项目、检验指标、检验申请单、检验仪器、审核规则、检验试管、检验标本、检验观察、检验号码、检验小组等的管理。</w:t>
            </w:r>
          </w:p>
        </w:tc>
      </w:tr>
      <w:tr w14:paraId="021E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67B55B34">
            <w:pPr>
              <w:widowControl/>
              <w:jc w:val="left"/>
              <w:rPr>
                <w:rFonts w:hint="eastAsia" w:ascii="宋体" w:hAnsi="宋体" w:eastAsia="宋体" w:cs="宋体"/>
                <w:color w:val="auto"/>
                <w:kern w:val="0"/>
                <w:sz w:val="20"/>
                <w:szCs w:val="20"/>
              </w:rPr>
            </w:pPr>
          </w:p>
        </w:tc>
        <w:tc>
          <w:tcPr>
            <w:tcW w:w="673" w:type="dxa"/>
            <w:vMerge w:val="continue"/>
            <w:vAlign w:val="center"/>
          </w:tcPr>
          <w:p w14:paraId="3378BAC6">
            <w:pPr>
              <w:widowControl/>
              <w:jc w:val="left"/>
              <w:rPr>
                <w:rFonts w:hint="eastAsia" w:ascii="宋体" w:hAnsi="宋体" w:eastAsia="宋体" w:cs="宋体"/>
                <w:color w:val="auto"/>
                <w:kern w:val="0"/>
                <w:sz w:val="20"/>
                <w:szCs w:val="20"/>
              </w:rPr>
            </w:pPr>
          </w:p>
        </w:tc>
        <w:tc>
          <w:tcPr>
            <w:tcW w:w="597" w:type="dxa"/>
            <w:vAlign w:val="center"/>
          </w:tcPr>
          <w:p w14:paraId="39A21273">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3363" w:type="dxa"/>
            <w:gridSpan w:val="3"/>
            <w:vAlign w:val="center"/>
          </w:tcPr>
          <w:p w14:paraId="19AA9B6C">
            <w:pPr>
              <w:widowControl/>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健康体检系统</w:t>
            </w:r>
          </w:p>
        </w:tc>
        <w:tc>
          <w:tcPr>
            <w:tcW w:w="8858" w:type="dxa"/>
            <w:vAlign w:val="center"/>
          </w:tcPr>
          <w:p w14:paraId="41194950">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要求与基层医疗机构综合管理系统基本医疗和基本公共卫生系统一体化设计，系统需支持国家本基本公共支持国家基本公共卫生体检应用，实现系统间数据互通共享，以减轻医护人员工作量、提升基层基本公共卫生服务能力；同时也支持自费商业体检，包括个人体检和团队体检。</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基础管理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体检项目管理：体检项目需要包含诊疗分类、类别、体检项目名称、计价性质、服务对象、执行科室、适用情况、项目类型、正常结论、体检要求等。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体检指标管理：支持对体检指标信息维护、适用机构维护、体检指标状态维护、支持与公卫指标对照等。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体检结论管理：支持体检结果进行的疾病诊断信息维护，支持对结论进行规则设置，在体检结论下达时，可根据体检的结果与设置的规则进行匹配，自动计算结论与参考建议。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体检套餐管理：支持针对不同的体检用户群体，预先定义好的体检组合项目，组成体检套餐。支持适用移动端设置。</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体检团队管理：将团体体检单位进行统一管理，维护体检单位信息，团队人员信息作为单位档案。</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体检仪器管理：对体检仪器的管理，通过仪器接口把采集到的结果保存到系统，工作站可以把采集到仪器结果显示到报告审核界面上。</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体检预约登记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支持个人体检登记、团队体检登记。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支持通过身份证、医保卡等多种证件登记的方式对体检人员进行基本信息登记，并选择体检套餐，进行划价。</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支持与公卫健康档案互联互通，自动获取体检者的公卫可做服务等；</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支持公卫体检自动识别居民是否正式建档、是否有可做的体检服务以及同一周期是否重复体检等；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体检中心管理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与医疗业务一体化设计，可随时了解个人/团体成员报到情况、体检进展情况以及个人/团队成员的体检费用情况。使体检中心及时掌握体检者的全面信息。</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支持指引单、检验申请单、检查申请单、条码单、餐券单等进行预览和打印。</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可以按照时间、状态、以及单位，对人员进行过滤。</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项目列表显现体检人员的体检项目、项目状态、费用状态等。</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分科检查</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分科检查结果录入，对接LIS、PACS系统的检查结果支持自动回写，检查项目阅片、历次检查结果的查看及对比，支持与支持与公卫系统互联互通，融合公卫体检表页面进行问询项目的分检检查；支持分科结论自动评估：根据分科录入的结果自动评估结论及参考建议；持分检结论手工录入：自动评估之外可进行相关结论的手工完善；</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体检总检</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支持自动收集分检项目中的异常结果；支持收集各分科小结；支持自动评估生成总检结论及参考建议。</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体检报告管理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主要用于体检人员报告的，打印、发放查询使用，在此模块可以打印、预览、发放体检人员的报告，以及输出人员报告到PDF。</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个人体检报告</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团体体检报告</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综合查询</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提供体检人员情况、团队体检情况、项目执行情况等维度的具体查询功能。</w:t>
            </w:r>
          </w:p>
        </w:tc>
      </w:tr>
      <w:tr w14:paraId="4926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vMerge w:val="continue"/>
            <w:vAlign w:val="center"/>
          </w:tcPr>
          <w:p w14:paraId="61BE3E54">
            <w:pPr>
              <w:widowControl/>
              <w:jc w:val="left"/>
              <w:rPr>
                <w:rFonts w:hint="eastAsia" w:ascii="宋体" w:hAnsi="宋体" w:eastAsia="宋体" w:cs="宋体"/>
                <w:color w:val="auto"/>
                <w:kern w:val="0"/>
                <w:sz w:val="20"/>
                <w:szCs w:val="20"/>
              </w:rPr>
            </w:pPr>
          </w:p>
        </w:tc>
        <w:tc>
          <w:tcPr>
            <w:tcW w:w="673" w:type="dxa"/>
            <w:vMerge w:val="continue"/>
            <w:vAlign w:val="center"/>
          </w:tcPr>
          <w:p w14:paraId="5A6A1407">
            <w:pPr>
              <w:widowControl/>
              <w:jc w:val="left"/>
              <w:rPr>
                <w:rFonts w:hint="eastAsia" w:ascii="宋体" w:hAnsi="宋体" w:eastAsia="宋体" w:cs="宋体"/>
                <w:color w:val="auto"/>
                <w:kern w:val="0"/>
                <w:sz w:val="20"/>
                <w:szCs w:val="20"/>
              </w:rPr>
            </w:pPr>
          </w:p>
        </w:tc>
        <w:tc>
          <w:tcPr>
            <w:tcW w:w="597" w:type="dxa"/>
            <w:shd w:val="clear" w:color="000000" w:fill="FFFFFF"/>
            <w:vAlign w:val="center"/>
          </w:tcPr>
          <w:p w14:paraId="328F3686">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3363" w:type="dxa"/>
            <w:gridSpan w:val="3"/>
            <w:shd w:val="clear" w:color="000000" w:fill="FFFFFF"/>
            <w:vAlign w:val="center"/>
          </w:tcPr>
          <w:p w14:paraId="3B2B6E53">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村卫生室系统</w:t>
            </w:r>
          </w:p>
        </w:tc>
        <w:tc>
          <w:tcPr>
            <w:tcW w:w="8858" w:type="dxa"/>
            <w:vAlign w:val="center"/>
          </w:tcPr>
          <w:p w14:paraId="0C34301C">
            <w:pPr>
              <w:widowControl/>
              <w:jc w:val="left"/>
              <w:rPr>
                <w:rFonts w:hint="eastAsia" w:ascii="宋体" w:hAnsi="宋体" w:eastAsia="宋体" w:cs="宋体"/>
                <w:color w:val="auto"/>
                <w:kern w:val="0"/>
                <w:sz w:val="20"/>
                <w:szCs w:val="20"/>
              </w:rPr>
            </w:pPr>
            <w:r>
              <w:rPr>
                <w:rFonts w:hint="eastAsia" w:ascii="宋体" w:hAnsi="宋体" w:eastAsia="宋体" w:cs="宋体"/>
                <w:b/>
                <w:bCs/>
                <w:color w:val="auto"/>
                <w:kern w:val="0"/>
                <w:sz w:val="20"/>
                <w:szCs w:val="20"/>
              </w:rPr>
              <w:t>医生主页管理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对村医日常事务进行管理，包括对辖区卫生概况的统计展示，工作事务提醒，以及快速服务。</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公共卫生服务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要求满足《国家基本公共卫生服务规范（第三版）》相关要求，为辖区居民提供居民健康档案服务，包括档案的增删改查、迁入迁出、以及业务统计查询等功能；按照规范对辖区村民进行管理，针对重点人群进行访视、随访、体检等服务。包括但不限于产后访视、新生儿家庭防视、慢病随访、重性精神病人随访等国家基本公共卫生服务。</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医疗服务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要求提供村医工作站满足村医医疗服务工作需要，工作站需要提供门诊诊疗、收费、就诊记录查询、就诊单据打印等功能。</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门诊诊疗：包括下诊断、开医嘱、导入村民历史就诊遗嘱、成套方案等。同时针对35岁以上村民进行首诊测血压、针对传染病人书写传染病报告卡。书写病历、打印处方等操作。同时列出居民可做服务，在就诊的同时可开展公共卫生服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门诊收费：根据就诊单据结算（可连接医保结算，实时医保补偿）、发药等操作。可根据实际情况，修改未结算单据进行结算，或者退费、作废等操作。</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就诊记录查询：根据居民信息、就诊时间、结算与否等信息查询历史就诊记录。</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就诊单据打印：根据就诊记录，提供查看和打印包括中西药处方、病历文书和门诊日报等单据的功能。</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药品管理</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提供药品管理功能对村卫生室药品进行申领、入库、出库、盘点等操作。（需提供软件功能性测试报告）</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药品管理需提供的功能包括但不限于：药品目录管理、药品申领管理、移库接收管理、外购入库管理、其他入库管理、出库管理、库存盘点管理、库存查询。</w:t>
            </w:r>
            <w:r>
              <w:rPr>
                <w:rFonts w:hint="eastAsia" w:ascii="宋体" w:hAnsi="宋体" w:eastAsia="宋体" w:cs="宋体"/>
                <w:color w:val="auto"/>
                <w:kern w:val="0"/>
                <w:sz w:val="20"/>
                <w:szCs w:val="20"/>
              </w:rPr>
              <w:br w:type="textWrapping"/>
            </w:r>
            <w:r>
              <w:rPr>
                <w:rFonts w:hint="eastAsia" w:ascii="宋体" w:hAnsi="宋体" w:eastAsia="宋体" w:cs="宋体"/>
                <w:b/>
                <w:bCs/>
                <w:color w:val="auto"/>
                <w:kern w:val="0"/>
                <w:sz w:val="20"/>
                <w:szCs w:val="20"/>
              </w:rPr>
              <w:t>医保服务</w:t>
            </w:r>
            <w:r>
              <w:rPr>
                <w:rFonts w:hint="eastAsia" w:ascii="宋体" w:hAnsi="宋体" w:eastAsia="宋体" w:cs="宋体"/>
                <w:color w:val="auto"/>
                <w:kern w:val="0"/>
                <w:sz w:val="20"/>
                <w:szCs w:val="20"/>
              </w:rPr>
              <w:br w:type="textWrapping"/>
            </w:r>
            <w:r>
              <w:rPr>
                <w:rFonts w:hint="eastAsia" w:ascii="宋体" w:hAnsi="宋体" w:eastAsia="宋体" w:cs="宋体"/>
                <w:color w:val="auto"/>
                <w:kern w:val="0"/>
                <w:sz w:val="20"/>
                <w:szCs w:val="20"/>
              </w:rPr>
              <w:t>医保结算及相关凭据查询：可接入不同类型医保接口，连接医保接口进行就诊结算。同时统计查询相关凭证及其打印。</w:t>
            </w:r>
          </w:p>
        </w:tc>
      </w:tr>
      <w:tr w14:paraId="61D1D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jc w:val="center"/>
        </w:trPr>
        <w:tc>
          <w:tcPr>
            <w:tcW w:w="523" w:type="dxa"/>
            <w:noWrap/>
            <w:vAlign w:val="center"/>
          </w:tcPr>
          <w:p w14:paraId="604BA07B">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673" w:type="dxa"/>
            <w:shd w:val="clear" w:color="000000" w:fill="FFFFFF"/>
            <w:vAlign w:val="center"/>
          </w:tcPr>
          <w:p w14:paraId="50588093">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医共体平台数据质量管理</w:t>
            </w:r>
          </w:p>
        </w:tc>
        <w:tc>
          <w:tcPr>
            <w:tcW w:w="597" w:type="dxa"/>
            <w:shd w:val="clear" w:color="000000" w:fill="FFFFFF"/>
            <w:vAlign w:val="center"/>
          </w:tcPr>
          <w:p w14:paraId="6E4964D6">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1套</w:t>
            </w:r>
          </w:p>
        </w:tc>
        <w:tc>
          <w:tcPr>
            <w:tcW w:w="1243" w:type="dxa"/>
            <w:shd w:val="clear" w:color="000000" w:fill="FFFFFF"/>
            <w:vAlign w:val="center"/>
          </w:tcPr>
          <w:p w14:paraId="10AE52FE">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医共体平台互联与接入</w:t>
            </w:r>
          </w:p>
        </w:tc>
        <w:tc>
          <w:tcPr>
            <w:tcW w:w="2120" w:type="dxa"/>
            <w:gridSpan w:val="2"/>
            <w:shd w:val="clear" w:color="000000" w:fill="FFFFFF"/>
            <w:vAlign w:val="center"/>
          </w:tcPr>
          <w:p w14:paraId="0AB28775">
            <w:pPr>
              <w:widowControl/>
              <w:jc w:val="center"/>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市公卫平台对接</w:t>
            </w:r>
          </w:p>
        </w:tc>
        <w:tc>
          <w:tcPr>
            <w:tcW w:w="8858" w:type="dxa"/>
            <w:noWrap/>
            <w:vAlign w:val="center"/>
          </w:tcPr>
          <w:p w14:paraId="7E035B48">
            <w:pPr>
              <w:widowControl/>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按照规范要求与市平台对接</w:t>
            </w:r>
          </w:p>
        </w:tc>
      </w:tr>
    </w:tbl>
    <w:p w14:paraId="4A9DAF64">
      <w:pPr>
        <w:rPr>
          <w:rFonts w:hint="eastAsia" w:ascii="黑体" w:hAnsi="黑体" w:eastAsia="黑体" w:cs="黑体"/>
          <w:b/>
          <w:bCs/>
          <w:sz w:val="24"/>
          <w:szCs w:val="24"/>
        </w:rPr>
      </w:pPr>
      <w:bookmarkStart w:id="0" w:name="OLE_LINK10"/>
      <w:r>
        <w:rPr>
          <w:rFonts w:hint="eastAsia" w:ascii="黑体" w:hAnsi="黑体" w:eastAsia="黑体" w:cs="黑体"/>
          <w:b/>
          <w:bCs/>
          <w:sz w:val="24"/>
          <w:szCs w:val="24"/>
        </w:rPr>
        <w:t>（二）云计算资源服务</w:t>
      </w:r>
    </w:p>
    <w:bookmarkEnd w:id="0"/>
    <w:tbl>
      <w:tblPr>
        <w:tblStyle w:val="17"/>
        <w:tblW w:w="4995" w:type="pct"/>
        <w:tblInd w:w="0" w:type="dxa"/>
        <w:tblLayout w:type="autofit"/>
        <w:tblCellMar>
          <w:top w:w="85" w:type="dxa"/>
          <w:left w:w="28" w:type="dxa"/>
          <w:bottom w:w="85" w:type="dxa"/>
          <w:right w:w="28" w:type="dxa"/>
        </w:tblCellMar>
      </w:tblPr>
      <w:tblGrid>
        <w:gridCol w:w="1428"/>
        <w:gridCol w:w="4893"/>
        <w:gridCol w:w="7679"/>
      </w:tblGrid>
      <w:tr w14:paraId="59D027FC">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vAlign w:val="center"/>
          </w:tcPr>
          <w:p w14:paraId="1E5E7D53">
            <w:pPr>
              <w:widowControl/>
              <w:jc w:val="center"/>
              <w:textAlignment w:val="center"/>
              <w:rPr>
                <w:rFonts w:hint="eastAsia" w:ascii="宋体" w:hAnsi="宋体" w:eastAsia="宋体" w:cs="宋体"/>
                <w:b/>
                <w:bCs/>
                <w:sz w:val="20"/>
                <w:szCs w:val="20"/>
              </w:rPr>
            </w:pPr>
            <w:r>
              <w:rPr>
                <w:rFonts w:hint="eastAsia" w:ascii="宋体" w:hAnsi="宋体" w:eastAsia="宋体" w:cs="宋体"/>
                <w:b/>
                <w:bCs/>
                <w:kern w:val="0"/>
                <w:sz w:val="20"/>
                <w:szCs w:val="20"/>
                <w:lang w:bidi="ar"/>
              </w:rPr>
              <w:t>序号</w:t>
            </w:r>
          </w:p>
        </w:tc>
        <w:tc>
          <w:tcPr>
            <w:tcW w:w="1747" w:type="pct"/>
            <w:tcBorders>
              <w:top w:val="single" w:color="000000" w:sz="4" w:space="0"/>
              <w:left w:val="single" w:color="000000" w:sz="4" w:space="0"/>
              <w:bottom w:val="single" w:color="000000" w:sz="4" w:space="0"/>
              <w:right w:val="single" w:color="000000" w:sz="4" w:space="0"/>
            </w:tcBorders>
            <w:vAlign w:val="center"/>
          </w:tcPr>
          <w:p w14:paraId="29FAA582">
            <w:pPr>
              <w:widowControl/>
              <w:jc w:val="center"/>
              <w:textAlignment w:val="center"/>
              <w:rPr>
                <w:rFonts w:hint="eastAsia" w:ascii="宋体" w:hAnsi="宋体" w:eastAsia="宋体" w:cs="宋体"/>
                <w:b/>
                <w:bCs/>
                <w:sz w:val="20"/>
                <w:szCs w:val="20"/>
              </w:rPr>
            </w:pPr>
            <w:r>
              <w:rPr>
                <w:rFonts w:hint="eastAsia" w:ascii="宋体" w:hAnsi="宋体" w:eastAsia="宋体" w:cs="宋体"/>
                <w:b/>
                <w:bCs/>
                <w:kern w:val="0"/>
                <w:sz w:val="20"/>
                <w:szCs w:val="20"/>
                <w:lang w:bidi="ar"/>
              </w:rPr>
              <w:t>名称</w:t>
            </w:r>
          </w:p>
        </w:tc>
        <w:tc>
          <w:tcPr>
            <w:tcW w:w="2742" w:type="pct"/>
            <w:tcBorders>
              <w:top w:val="single" w:color="000000" w:sz="4" w:space="0"/>
              <w:left w:val="single" w:color="000000" w:sz="4" w:space="0"/>
              <w:bottom w:val="single" w:color="000000" w:sz="4" w:space="0"/>
              <w:right w:val="single" w:color="000000" w:sz="4" w:space="0"/>
            </w:tcBorders>
            <w:vAlign w:val="center"/>
          </w:tcPr>
          <w:p w14:paraId="0FAC233A">
            <w:pPr>
              <w:widowControl/>
              <w:jc w:val="center"/>
              <w:textAlignment w:val="center"/>
              <w:rPr>
                <w:rFonts w:hint="eastAsia" w:ascii="宋体" w:hAnsi="宋体" w:eastAsia="宋体" w:cs="宋体"/>
                <w:b/>
                <w:bCs/>
                <w:sz w:val="20"/>
                <w:szCs w:val="20"/>
              </w:rPr>
            </w:pPr>
            <w:r>
              <w:rPr>
                <w:rFonts w:hint="eastAsia" w:ascii="宋体" w:hAnsi="宋体" w:eastAsia="宋体" w:cs="宋体"/>
                <w:b/>
                <w:bCs/>
                <w:kern w:val="0"/>
                <w:sz w:val="20"/>
                <w:szCs w:val="20"/>
                <w:lang w:bidi="ar"/>
              </w:rPr>
              <w:t>规格</w:t>
            </w:r>
          </w:p>
        </w:tc>
      </w:tr>
      <w:tr w14:paraId="521BC73F">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219AC611">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1</w:t>
            </w:r>
          </w:p>
        </w:tc>
        <w:tc>
          <w:tcPr>
            <w:tcW w:w="1747" w:type="pct"/>
            <w:tcBorders>
              <w:top w:val="single" w:color="000000" w:sz="4" w:space="0"/>
              <w:left w:val="single" w:color="000000" w:sz="4" w:space="0"/>
              <w:bottom w:val="single" w:color="000000" w:sz="4" w:space="0"/>
              <w:right w:val="single" w:color="000000" w:sz="4" w:space="0"/>
            </w:tcBorders>
            <w:vAlign w:val="center"/>
          </w:tcPr>
          <w:p w14:paraId="49AD33A5">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基层医疗信息系统-数据库服务器</w:t>
            </w:r>
          </w:p>
        </w:tc>
        <w:tc>
          <w:tcPr>
            <w:tcW w:w="2742" w:type="pct"/>
            <w:tcBorders>
              <w:top w:val="single" w:color="000000" w:sz="4" w:space="0"/>
              <w:left w:val="single" w:color="000000" w:sz="4" w:space="0"/>
              <w:bottom w:val="single" w:color="000000" w:sz="4" w:space="0"/>
              <w:right w:val="single" w:color="000000" w:sz="4" w:space="0"/>
            </w:tcBorders>
            <w:vAlign w:val="center"/>
          </w:tcPr>
          <w:p w14:paraId="14A326FF">
            <w:pPr>
              <w:widowControl/>
              <w:textAlignment w:val="center"/>
              <w:rPr>
                <w:rFonts w:hint="eastAsia" w:ascii="宋体" w:hAnsi="宋体" w:eastAsia="宋体" w:cs="宋体"/>
                <w:sz w:val="20"/>
                <w:szCs w:val="20"/>
              </w:rPr>
            </w:pPr>
            <w:r>
              <w:rPr>
                <w:rStyle w:val="39"/>
                <w:rFonts w:hint="default"/>
                <w:color w:val="auto"/>
                <w:lang w:bidi="ar"/>
              </w:rPr>
              <w:t>数量:2；vCPU≥16核,内存≥64G，</w:t>
            </w:r>
            <w:r>
              <w:rPr>
                <w:rStyle w:val="40"/>
                <w:rFonts w:hint="default"/>
                <w:color w:val="auto"/>
                <w:lang w:bidi="ar"/>
              </w:rPr>
              <w:t>系统盘≥50G,数据盘≥1T；</w:t>
            </w:r>
            <w:r>
              <w:rPr>
                <w:rStyle w:val="40"/>
                <w:color w:val="auto"/>
                <w:lang w:bidi="ar"/>
              </w:rPr>
              <w:t>服务期一年</w:t>
            </w:r>
          </w:p>
        </w:tc>
      </w:tr>
      <w:tr w14:paraId="551339E9">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0EB7A816">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2</w:t>
            </w:r>
          </w:p>
        </w:tc>
        <w:tc>
          <w:tcPr>
            <w:tcW w:w="1747" w:type="pct"/>
            <w:tcBorders>
              <w:top w:val="single" w:color="000000" w:sz="4" w:space="0"/>
              <w:left w:val="single" w:color="000000" w:sz="4" w:space="0"/>
              <w:bottom w:val="single" w:color="000000" w:sz="4" w:space="0"/>
              <w:right w:val="single" w:color="000000" w:sz="4" w:space="0"/>
            </w:tcBorders>
            <w:vAlign w:val="center"/>
          </w:tcPr>
          <w:p w14:paraId="36B8128F">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基层医疗信息系统-应用服务器</w:t>
            </w:r>
          </w:p>
        </w:tc>
        <w:tc>
          <w:tcPr>
            <w:tcW w:w="2742" w:type="pct"/>
            <w:tcBorders>
              <w:top w:val="single" w:color="000000" w:sz="4" w:space="0"/>
              <w:left w:val="single" w:color="000000" w:sz="4" w:space="0"/>
              <w:bottom w:val="single" w:color="000000" w:sz="4" w:space="0"/>
              <w:right w:val="single" w:color="000000" w:sz="4" w:space="0"/>
            </w:tcBorders>
            <w:vAlign w:val="center"/>
          </w:tcPr>
          <w:p w14:paraId="4EACC520">
            <w:pPr>
              <w:widowControl/>
              <w:textAlignment w:val="center"/>
              <w:rPr>
                <w:rFonts w:hint="eastAsia" w:ascii="宋体" w:hAnsi="宋体" w:eastAsia="宋体" w:cs="宋体"/>
                <w:sz w:val="20"/>
                <w:szCs w:val="20"/>
              </w:rPr>
            </w:pPr>
            <w:r>
              <w:rPr>
                <w:rStyle w:val="39"/>
                <w:rFonts w:hint="default"/>
                <w:color w:val="auto"/>
                <w:lang w:bidi="ar"/>
              </w:rPr>
              <w:t>数量:2；vCPU≥16核,内存≥64G，</w:t>
            </w:r>
            <w:r>
              <w:rPr>
                <w:rStyle w:val="40"/>
                <w:rFonts w:hint="default"/>
                <w:color w:val="auto"/>
                <w:lang w:bidi="ar"/>
              </w:rPr>
              <w:t>系统盘≥50G,数据盘≥0.5T；</w:t>
            </w:r>
            <w:r>
              <w:rPr>
                <w:rStyle w:val="40"/>
                <w:color w:val="auto"/>
                <w:lang w:bidi="ar"/>
              </w:rPr>
              <w:t>服务期一年</w:t>
            </w:r>
          </w:p>
        </w:tc>
      </w:tr>
      <w:tr w14:paraId="333459D3">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5DA17EF4">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3</w:t>
            </w:r>
          </w:p>
        </w:tc>
        <w:tc>
          <w:tcPr>
            <w:tcW w:w="1747" w:type="pct"/>
            <w:tcBorders>
              <w:top w:val="single" w:color="000000" w:sz="4" w:space="0"/>
              <w:left w:val="single" w:color="000000" w:sz="4" w:space="0"/>
              <w:bottom w:val="single" w:color="000000" w:sz="4" w:space="0"/>
              <w:right w:val="single" w:color="000000" w:sz="4" w:space="0"/>
            </w:tcBorders>
            <w:vAlign w:val="center"/>
          </w:tcPr>
          <w:p w14:paraId="17903248">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基层医疗信息系统-互联网前置机</w:t>
            </w:r>
          </w:p>
        </w:tc>
        <w:tc>
          <w:tcPr>
            <w:tcW w:w="2742" w:type="pct"/>
            <w:tcBorders>
              <w:top w:val="single" w:color="000000" w:sz="4" w:space="0"/>
              <w:left w:val="single" w:color="000000" w:sz="4" w:space="0"/>
              <w:bottom w:val="single" w:color="000000" w:sz="4" w:space="0"/>
              <w:right w:val="single" w:color="000000" w:sz="4" w:space="0"/>
            </w:tcBorders>
            <w:vAlign w:val="center"/>
          </w:tcPr>
          <w:p w14:paraId="11E5AD41">
            <w:pPr>
              <w:widowControl/>
              <w:textAlignment w:val="center"/>
              <w:rPr>
                <w:rFonts w:hint="eastAsia" w:ascii="宋体" w:hAnsi="宋体" w:eastAsia="宋体" w:cs="宋体"/>
                <w:sz w:val="20"/>
                <w:szCs w:val="20"/>
              </w:rPr>
            </w:pPr>
            <w:r>
              <w:rPr>
                <w:rStyle w:val="39"/>
                <w:rFonts w:hint="default"/>
                <w:color w:val="auto"/>
                <w:lang w:bidi="ar"/>
              </w:rPr>
              <w:t>数量:1；vCPU≥16核,内存≥16G，</w:t>
            </w:r>
            <w:r>
              <w:rPr>
                <w:rStyle w:val="40"/>
                <w:rFonts w:hint="default"/>
                <w:color w:val="auto"/>
                <w:lang w:bidi="ar"/>
              </w:rPr>
              <w:t>系统盘≥50G,数据盘≥0.5T；</w:t>
            </w:r>
            <w:r>
              <w:rPr>
                <w:rStyle w:val="40"/>
                <w:color w:val="auto"/>
                <w:lang w:bidi="ar"/>
              </w:rPr>
              <w:t>服务期一年</w:t>
            </w:r>
          </w:p>
        </w:tc>
      </w:tr>
      <w:tr w14:paraId="5E2797D5">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7A66CADE">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4</w:t>
            </w:r>
          </w:p>
        </w:tc>
        <w:tc>
          <w:tcPr>
            <w:tcW w:w="1747" w:type="pct"/>
            <w:tcBorders>
              <w:top w:val="single" w:color="000000" w:sz="4" w:space="0"/>
              <w:left w:val="single" w:color="000000" w:sz="4" w:space="0"/>
              <w:bottom w:val="single" w:color="000000" w:sz="4" w:space="0"/>
              <w:right w:val="single" w:color="000000" w:sz="4" w:space="0"/>
            </w:tcBorders>
            <w:vAlign w:val="center"/>
          </w:tcPr>
          <w:p w14:paraId="548190F9">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基层医疗信息系统-文件服务器</w:t>
            </w:r>
          </w:p>
        </w:tc>
        <w:tc>
          <w:tcPr>
            <w:tcW w:w="2742" w:type="pct"/>
            <w:tcBorders>
              <w:top w:val="single" w:color="000000" w:sz="4" w:space="0"/>
              <w:left w:val="single" w:color="000000" w:sz="4" w:space="0"/>
              <w:bottom w:val="single" w:color="000000" w:sz="4" w:space="0"/>
              <w:right w:val="single" w:color="000000" w:sz="4" w:space="0"/>
            </w:tcBorders>
            <w:vAlign w:val="center"/>
          </w:tcPr>
          <w:p w14:paraId="09A370B5">
            <w:pPr>
              <w:widowControl/>
              <w:textAlignment w:val="center"/>
              <w:rPr>
                <w:rFonts w:hint="eastAsia" w:ascii="宋体" w:hAnsi="宋体" w:eastAsia="宋体" w:cs="宋体"/>
                <w:sz w:val="20"/>
                <w:szCs w:val="20"/>
              </w:rPr>
            </w:pPr>
            <w:r>
              <w:rPr>
                <w:rStyle w:val="39"/>
                <w:rFonts w:hint="default"/>
                <w:color w:val="auto"/>
                <w:lang w:bidi="ar"/>
              </w:rPr>
              <w:t>数量:1；vCPU≥16核,内存≥16G，</w:t>
            </w:r>
            <w:r>
              <w:rPr>
                <w:rStyle w:val="40"/>
                <w:rFonts w:hint="default"/>
                <w:color w:val="auto"/>
                <w:lang w:bidi="ar"/>
              </w:rPr>
              <w:t>系统盘≥50G,数据盘≥6T；</w:t>
            </w:r>
            <w:r>
              <w:rPr>
                <w:rStyle w:val="40"/>
                <w:color w:val="auto"/>
                <w:lang w:bidi="ar"/>
              </w:rPr>
              <w:t>服务期一年</w:t>
            </w:r>
          </w:p>
        </w:tc>
      </w:tr>
      <w:tr w14:paraId="100A896B">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2FF8BC8B">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5</w:t>
            </w:r>
          </w:p>
        </w:tc>
        <w:tc>
          <w:tcPr>
            <w:tcW w:w="1747" w:type="pct"/>
            <w:tcBorders>
              <w:top w:val="single" w:color="000000" w:sz="4" w:space="0"/>
              <w:left w:val="single" w:color="000000" w:sz="4" w:space="0"/>
              <w:bottom w:val="single" w:color="000000" w:sz="4" w:space="0"/>
              <w:right w:val="single" w:color="000000" w:sz="4" w:space="0"/>
            </w:tcBorders>
            <w:vAlign w:val="center"/>
          </w:tcPr>
          <w:p w14:paraId="7465E521">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基层医疗信息系统-医保前置服务器</w:t>
            </w:r>
          </w:p>
        </w:tc>
        <w:tc>
          <w:tcPr>
            <w:tcW w:w="2742" w:type="pct"/>
            <w:tcBorders>
              <w:top w:val="single" w:color="000000" w:sz="4" w:space="0"/>
              <w:left w:val="single" w:color="000000" w:sz="4" w:space="0"/>
              <w:bottom w:val="single" w:color="000000" w:sz="4" w:space="0"/>
              <w:right w:val="single" w:color="000000" w:sz="4" w:space="0"/>
            </w:tcBorders>
            <w:vAlign w:val="center"/>
          </w:tcPr>
          <w:p w14:paraId="04140B84">
            <w:pPr>
              <w:widowControl/>
              <w:textAlignment w:val="center"/>
              <w:rPr>
                <w:rFonts w:hint="eastAsia" w:ascii="宋体" w:hAnsi="宋体" w:eastAsia="宋体" w:cs="宋体"/>
                <w:sz w:val="20"/>
                <w:szCs w:val="20"/>
              </w:rPr>
            </w:pPr>
            <w:r>
              <w:rPr>
                <w:rStyle w:val="39"/>
                <w:rFonts w:hint="default"/>
                <w:color w:val="auto"/>
                <w:lang w:bidi="ar"/>
              </w:rPr>
              <w:t>数量:1；vCPU≥16核,内存≥64G，</w:t>
            </w:r>
            <w:r>
              <w:rPr>
                <w:rStyle w:val="40"/>
                <w:rFonts w:hint="default"/>
                <w:color w:val="auto"/>
                <w:lang w:bidi="ar"/>
              </w:rPr>
              <w:t>系统盘≥50G,数据盘≥2T；</w:t>
            </w:r>
            <w:r>
              <w:rPr>
                <w:rStyle w:val="40"/>
                <w:color w:val="auto"/>
                <w:lang w:bidi="ar"/>
              </w:rPr>
              <w:t>服务期一年</w:t>
            </w:r>
          </w:p>
        </w:tc>
      </w:tr>
      <w:tr w14:paraId="728FA62B">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7F4685C4">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6</w:t>
            </w:r>
          </w:p>
        </w:tc>
        <w:tc>
          <w:tcPr>
            <w:tcW w:w="1747" w:type="pct"/>
            <w:tcBorders>
              <w:top w:val="single" w:color="000000" w:sz="4" w:space="0"/>
              <w:left w:val="single" w:color="000000" w:sz="4" w:space="0"/>
              <w:bottom w:val="single" w:color="000000" w:sz="4" w:space="0"/>
              <w:right w:val="single" w:color="000000" w:sz="4" w:space="0"/>
            </w:tcBorders>
            <w:vAlign w:val="center"/>
          </w:tcPr>
          <w:p w14:paraId="4F869D5F">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医共体基础平台-tidb</w:t>
            </w:r>
          </w:p>
        </w:tc>
        <w:tc>
          <w:tcPr>
            <w:tcW w:w="2742" w:type="pct"/>
            <w:tcBorders>
              <w:top w:val="single" w:color="000000" w:sz="4" w:space="0"/>
              <w:left w:val="single" w:color="000000" w:sz="4" w:space="0"/>
              <w:bottom w:val="single" w:color="000000" w:sz="4" w:space="0"/>
              <w:right w:val="single" w:color="000000" w:sz="4" w:space="0"/>
            </w:tcBorders>
            <w:vAlign w:val="center"/>
          </w:tcPr>
          <w:p w14:paraId="7A503860">
            <w:pPr>
              <w:widowControl/>
              <w:textAlignment w:val="center"/>
              <w:rPr>
                <w:rFonts w:hint="eastAsia" w:ascii="宋体" w:hAnsi="宋体" w:eastAsia="宋体" w:cs="宋体"/>
                <w:sz w:val="20"/>
                <w:szCs w:val="20"/>
              </w:rPr>
            </w:pPr>
            <w:r>
              <w:rPr>
                <w:rStyle w:val="39"/>
                <w:rFonts w:hint="default"/>
                <w:color w:val="auto"/>
                <w:lang w:bidi="ar"/>
              </w:rPr>
              <w:t>数量:2；vCPU≥16核,内存≥32G，</w:t>
            </w:r>
            <w:r>
              <w:rPr>
                <w:rStyle w:val="40"/>
                <w:rFonts w:hint="default"/>
                <w:color w:val="auto"/>
                <w:lang w:bidi="ar"/>
              </w:rPr>
              <w:t>系统盘(SSD)≥50G,数据盘(SSD)≥0.25T；</w:t>
            </w:r>
            <w:r>
              <w:rPr>
                <w:rStyle w:val="40"/>
                <w:color w:val="auto"/>
                <w:lang w:bidi="ar"/>
              </w:rPr>
              <w:t>服务期一年</w:t>
            </w:r>
          </w:p>
        </w:tc>
      </w:tr>
      <w:tr w14:paraId="7D6CC7F7">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0BE6C406">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7</w:t>
            </w:r>
          </w:p>
        </w:tc>
        <w:tc>
          <w:tcPr>
            <w:tcW w:w="1747" w:type="pct"/>
            <w:tcBorders>
              <w:top w:val="single" w:color="000000" w:sz="4" w:space="0"/>
              <w:left w:val="single" w:color="000000" w:sz="4" w:space="0"/>
              <w:bottom w:val="single" w:color="000000" w:sz="4" w:space="0"/>
              <w:right w:val="single" w:color="000000" w:sz="4" w:space="0"/>
            </w:tcBorders>
            <w:vAlign w:val="center"/>
          </w:tcPr>
          <w:p w14:paraId="2EFACC29">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医共体基础平台-pd</w:t>
            </w:r>
          </w:p>
        </w:tc>
        <w:tc>
          <w:tcPr>
            <w:tcW w:w="2742" w:type="pct"/>
            <w:tcBorders>
              <w:top w:val="single" w:color="000000" w:sz="4" w:space="0"/>
              <w:left w:val="single" w:color="000000" w:sz="4" w:space="0"/>
              <w:bottom w:val="single" w:color="000000" w:sz="4" w:space="0"/>
              <w:right w:val="single" w:color="000000" w:sz="4" w:space="0"/>
            </w:tcBorders>
            <w:vAlign w:val="center"/>
          </w:tcPr>
          <w:p w14:paraId="6676FA4A">
            <w:pPr>
              <w:widowControl/>
              <w:textAlignment w:val="center"/>
              <w:rPr>
                <w:rFonts w:hint="eastAsia" w:ascii="宋体" w:hAnsi="宋体" w:eastAsia="宋体" w:cs="宋体"/>
                <w:sz w:val="20"/>
                <w:szCs w:val="20"/>
              </w:rPr>
            </w:pPr>
            <w:r>
              <w:rPr>
                <w:rStyle w:val="39"/>
                <w:rFonts w:hint="default"/>
                <w:color w:val="auto"/>
                <w:lang w:bidi="ar"/>
              </w:rPr>
              <w:t>数量:3；vCPU≥16核,内存≥32G，</w:t>
            </w:r>
            <w:r>
              <w:rPr>
                <w:rStyle w:val="40"/>
                <w:rFonts w:hint="default"/>
                <w:color w:val="auto"/>
                <w:lang w:bidi="ar"/>
              </w:rPr>
              <w:t>系统盘(SSD)≥50G,数据盘(SSD)≥0.25T；</w:t>
            </w:r>
            <w:r>
              <w:rPr>
                <w:rStyle w:val="40"/>
                <w:color w:val="auto"/>
                <w:lang w:bidi="ar"/>
              </w:rPr>
              <w:t>服务期一年</w:t>
            </w:r>
          </w:p>
        </w:tc>
      </w:tr>
      <w:tr w14:paraId="24129A91">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51403BD3">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8</w:t>
            </w:r>
          </w:p>
        </w:tc>
        <w:tc>
          <w:tcPr>
            <w:tcW w:w="1747" w:type="pct"/>
            <w:tcBorders>
              <w:top w:val="single" w:color="000000" w:sz="4" w:space="0"/>
              <w:left w:val="single" w:color="000000" w:sz="4" w:space="0"/>
              <w:bottom w:val="single" w:color="000000" w:sz="4" w:space="0"/>
              <w:right w:val="single" w:color="000000" w:sz="4" w:space="0"/>
            </w:tcBorders>
            <w:vAlign w:val="center"/>
          </w:tcPr>
          <w:p w14:paraId="2843F97A">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医共体基础平台-tikv</w:t>
            </w:r>
          </w:p>
        </w:tc>
        <w:tc>
          <w:tcPr>
            <w:tcW w:w="2742" w:type="pct"/>
            <w:tcBorders>
              <w:top w:val="single" w:color="000000" w:sz="4" w:space="0"/>
              <w:left w:val="single" w:color="000000" w:sz="4" w:space="0"/>
              <w:bottom w:val="single" w:color="000000" w:sz="4" w:space="0"/>
              <w:right w:val="single" w:color="000000" w:sz="4" w:space="0"/>
            </w:tcBorders>
            <w:vAlign w:val="center"/>
          </w:tcPr>
          <w:p w14:paraId="52C67F68">
            <w:pPr>
              <w:widowControl/>
              <w:textAlignment w:val="center"/>
              <w:rPr>
                <w:rFonts w:hint="eastAsia" w:ascii="宋体" w:hAnsi="宋体" w:eastAsia="宋体" w:cs="宋体"/>
                <w:sz w:val="20"/>
                <w:szCs w:val="20"/>
              </w:rPr>
            </w:pPr>
            <w:r>
              <w:rPr>
                <w:rStyle w:val="39"/>
                <w:rFonts w:hint="default"/>
                <w:color w:val="auto"/>
                <w:lang w:bidi="ar"/>
              </w:rPr>
              <w:t>数量:3；vCPU≥16核,内存≥32G，</w:t>
            </w:r>
            <w:r>
              <w:rPr>
                <w:rStyle w:val="40"/>
                <w:rFonts w:hint="default"/>
                <w:color w:val="auto"/>
                <w:lang w:bidi="ar"/>
              </w:rPr>
              <w:t>系统盘(SSD)≥50G,数据盘(SSD)≥0.5T；</w:t>
            </w:r>
            <w:r>
              <w:rPr>
                <w:rStyle w:val="40"/>
                <w:color w:val="auto"/>
                <w:lang w:bidi="ar"/>
              </w:rPr>
              <w:t>服务期一年</w:t>
            </w:r>
          </w:p>
        </w:tc>
      </w:tr>
      <w:tr w14:paraId="5678087D">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78C061B9">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9</w:t>
            </w:r>
          </w:p>
        </w:tc>
        <w:tc>
          <w:tcPr>
            <w:tcW w:w="1747" w:type="pct"/>
            <w:tcBorders>
              <w:top w:val="single" w:color="000000" w:sz="4" w:space="0"/>
              <w:left w:val="single" w:color="000000" w:sz="4" w:space="0"/>
              <w:bottom w:val="single" w:color="000000" w:sz="4" w:space="0"/>
              <w:right w:val="single" w:color="000000" w:sz="4" w:space="0"/>
            </w:tcBorders>
            <w:vAlign w:val="center"/>
          </w:tcPr>
          <w:p w14:paraId="0771E721">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医共体基础平台-tiflash</w:t>
            </w:r>
          </w:p>
        </w:tc>
        <w:tc>
          <w:tcPr>
            <w:tcW w:w="2742" w:type="pct"/>
            <w:tcBorders>
              <w:top w:val="single" w:color="000000" w:sz="4" w:space="0"/>
              <w:left w:val="single" w:color="000000" w:sz="4" w:space="0"/>
              <w:bottom w:val="single" w:color="000000" w:sz="4" w:space="0"/>
              <w:right w:val="single" w:color="000000" w:sz="4" w:space="0"/>
            </w:tcBorders>
            <w:vAlign w:val="center"/>
          </w:tcPr>
          <w:p w14:paraId="37BC8646">
            <w:pPr>
              <w:widowControl/>
              <w:textAlignment w:val="center"/>
              <w:rPr>
                <w:rFonts w:hint="eastAsia" w:ascii="宋体" w:hAnsi="宋体" w:eastAsia="宋体" w:cs="宋体"/>
                <w:sz w:val="20"/>
                <w:szCs w:val="20"/>
              </w:rPr>
            </w:pPr>
            <w:r>
              <w:rPr>
                <w:rStyle w:val="39"/>
                <w:rFonts w:hint="default"/>
                <w:color w:val="auto"/>
                <w:lang w:bidi="ar"/>
              </w:rPr>
              <w:t>数量:1；vCPU≥16核,内存≥32G，</w:t>
            </w:r>
            <w:r>
              <w:rPr>
                <w:rStyle w:val="40"/>
                <w:rFonts w:hint="default"/>
                <w:color w:val="auto"/>
                <w:lang w:bidi="ar"/>
              </w:rPr>
              <w:t>系统盘≥50G,数据盘≥2T；</w:t>
            </w:r>
            <w:r>
              <w:rPr>
                <w:rStyle w:val="40"/>
                <w:color w:val="auto"/>
                <w:lang w:bidi="ar"/>
              </w:rPr>
              <w:t>服务期一年</w:t>
            </w:r>
          </w:p>
        </w:tc>
      </w:tr>
      <w:tr w14:paraId="62938BE5">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55EA942D">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10</w:t>
            </w:r>
          </w:p>
        </w:tc>
        <w:tc>
          <w:tcPr>
            <w:tcW w:w="1747" w:type="pct"/>
            <w:tcBorders>
              <w:top w:val="single" w:color="000000" w:sz="4" w:space="0"/>
              <w:left w:val="single" w:color="000000" w:sz="4" w:space="0"/>
              <w:bottom w:val="single" w:color="000000" w:sz="4" w:space="0"/>
              <w:right w:val="single" w:color="000000" w:sz="4" w:space="0"/>
            </w:tcBorders>
            <w:vAlign w:val="center"/>
          </w:tcPr>
          <w:p w14:paraId="23436A5A">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医共体基础平台-数据采集子平台</w:t>
            </w:r>
          </w:p>
        </w:tc>
        <w:tc>
          <w:tcPr>
            <w:tcW w:w="2742" w:type="pct"/>
            <w:tcBorders>
              <w:top w:val="single" w:color="000000" w:sz="4" w:space="0"/>
              <w:left w:val="single" w:color="000000" w:sz="4" w:space="0"/>
              <w:bottom w:val="single" w:color="000000" w:sz="4" w:space="0"/>
              <w:right w:val="single" w:color="000000" w:sz="4" w:space="0"/>
            </w:tcBorders>
            <w:vAlign w:val="center"/>
          </w:tcPr>
          <w:p w14:paraId="6C53B6AA">
            <w:pPr>
              <w:widowControl/>
              <w:textAlignment w:val="center"/>
              <w:rPr>
                <w:rFonts w:hint="eastAsia" w:ascii="宋体" w:hAnsi="宋体" w:eastAsia="宋体" w:cs="宋体"/>
                <w:sz w:val="20"/>
                <w:szCs w:val="20"/>
              </w:rPr>
            </w:pPr>
            <w:r>
              <w:rPr>
                <w:rStyle w:val="39"/>
                <w:rFonts w:hint="default"/>
                <w:color w:val="auto"/>
                <w:lang w:bidi="ar"/>
              </w:rPr>
              <w:t>数量:2；vCPU≥16核,内存≥32G，</w:t>
            </w:r>
            <w:r>
              <w:rPr>
                <w:rStyle w:val="40"/>
                <w:rFonts w:hint="default"/>
                <w:color w:val="auto"/>
                <w:lang w:bidi="ar"/>
              </w:rPr>
              <w:t>系统盘≥50G,数据盘≥0.5T；</w:t>
            </w:r>
            <w:r>
              <w:rPr>
                <w:rStyle w:val="40"/>
                <w:color w:val="auto"/>
                <w:lang w:bidi="ar"/>
              </w:rPr>
              <w:t>服务期一年</w:t>
            </w:r>
          </w:p>
        </w:tc>
      </w:tr>
      <w:tr w14:paraId="62288687">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516ABF02">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11</w:t>
            </w:r>
          </w:p>
        </w:tc>
        <w:tc>
          <w:tcPr>
            <w:tcW w:w="1747" w:type="pct"/>
            <w:tcBorders>
              <w:top w:val="single" w:color="000000" w:sz="4" w:space="0"/>
              <w:left w:val="single" w:color="000000" w:sz="4" w:space="0"/>
              <w:bottom w:val="single" w:color="000000" w:sz="4" w:space="0"/>
              <w:right w:val="single" w:color="000000" w:sz="4" w:space="0"/>
            </w:tcBorders>
            <w:vAlign w:val="center"/>
          </w:tcPr>
          <w:p w14:paraId="072EA25F">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电子病历共享工程-共享服务子平台</w:t>
            </w:r>
          </w:p>
        </w:tc>
        <w:tc>
          <w:tcPr>
            <w:tcW w:w="2742" w:type="pct"/>
            <w:tcBorders>
              <w:top w:val="single" w:color="000000" w:sz="4" w:space="0"/>
              <w:left w:val="single" w:color="000000" w:sz="4" w:space="0"/>
              <w:bottom w:val="single" w:color="000000" w:sz="4" w:space="0"/>
              <w:right w:val="single" w:color="000000" w:sz="4" w:space="0"/>
            </w:tcBorders>
            <w:vAlign w:val="center"/>
          </w:tcPr>
          <w:p w14:paraId="2317C68B">
            <w:pPr>
              <w:widowControl/>
              <w:textAlignment w:val="center"/>
              <w:rPr>
                <w:rFonts w:hint="eastAsia" w:ascii="宋体" w:hAnsi="宋体" w:eastAsia="宋体" w:cs="宋体"/>
                <w:sz w:val="20"/>
                <w:szCs w:val="20"/>
              </w:rPr>
            </w:pPr>
            <w:r>
              <w:rPr>
                <w:rStyle w:val="39"/>
                <w:rFonts w:hint="default"/>
                <w:color w:val="auto"/>
                <w:lang w:bidi="ar"/>
              </w:rPr>
              <w:t>数量:1；vCPU≥32核,内存≥32G，</w:t>
            </w:r>
            <w:r>
              <w:rPr>
                <w:rStyle w:val="40"/>
                <w:rFonts w:hint="default"/>
                <w:color w:val="auto"/>
                <w:lang w:bidi="ar"/>
              </w:rPr>
              <w:t>系统盘≥50G,数据盘≥0.5T；</w:t>
            </w:r>
            <w:r>
              <w:rPr>
                <w:rStyle w:val="40"/>
                <w:color w:val="auto"/>
                <w:lang w:bidi="ar"/>
              </w:rPr>
              <w:t>服务期一年</w:t>
            </w:r>
          </w:p>
        </w:tc>
      </w:tr>
      <w:tr w14:paraId="574DBA88">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47BDE68C">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12</w:t>
            </w:r>
          </w:p>
        </w:tc>
        <w:tc>
          <w:tcPr>
            <w:tcW w:w="1747" w:type="pct"/>
            <w:tcBorders>
              <w:top w:val="single" w:color="000000" w:sz="4" w:space="0"/>
              <w:left w:val="single" w:color="000000" w:sz="4" w:space="0"/>
              <w:bottom w:val="single" w:color="000000" w:sz="4" w:space="0"/>
              <w:right w:val="single" w:color="000000" w:sz="4" w:space="0"/>
            </w:tcBorders>
            <w:vAlign w:val="center"/>
          </w:tcPr>
          <w:p w14:paraId="5B426C37">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医共体基础平台-医共体平台数据库</w:t>
            </w:r>
          </w:p>
        </w:tc>
        <w:tc>
          <w:tcPr>
            <w:tcW w:w="2742" w:type="pct"/>
            <w:tcBorders>
              <w:top w:val="single" w:color="000000" w:sz="4" w:space="0"/>
              <w:left w:val="single" w:color="000000" w:sz="4" w:space="0"/>
              <w:bottom w:val="single" w:color="000000" w:sz="4" w:space="0"/>
              <w:right w:val="single" w:color="000000" w:sz="4" w:space="0"/>
            </w:tcBorders>
            <w:vAlign w:val="center"/>
          </w:tcPr>
          <w:p w14:paraId="1E3E4E47">
            <w:pPr>
              <w:widowControl/>
              <w:textAlignment w:val="center"/>
              <w:rPr>
                <w:rFonts w:hint="eastAsia" w:ascii="宋体" w:hAnsi="宋体" w:eastAsia="宋体" w:cs="宋体"/>
                <w:sz w:val="20"/>
                <w:szCs w:val="20"/>
              </w:rPr>
            </w:pPr>
            <w:r>
              <w:rPr>
                <w:rStyle w:val="39"/>
                <w:rFonts w:hint="default"/>
                <w:color w:val="auto"/>
                <w:lang w:bidi="ar"/>
              </w:rPr>
              <w:t>数量:1；vCPU≥16核,内存≥32G，</w:t>
            </w:r>
            <w:r>
              <w:rPr>
                <w:rStyle w:val="40"/>
                <w:rFonts w:hint="default"/>
                <w:color w:val="auto"/>
                <w:lang w:bidi="ar"/>
              </w:rPr>
              <w:t>系统盘≥50G,数据盘≥2T；</w:t>
            </w:r>
            <w:r>
              <w:rPr>
                <w:rStyle w:val="40"/>
                <w:color w:val="auto"/>
                <w:lang w:bidi="ar"/>
              </w:rPr>
              <w:t>服务期一年</w:t>
            </w:r>
          </w:p>
        </w:tc>
      </w:tr>
      <w:tr w14:paraId="7FCA6F57">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5BF9CAD9">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13</w:t>
            </w:r>
          </w:p>
        </w:tc>
        <w:tc>
          <w:tcPr>
            <w:tcW w:w="1747" w:type="pct"/>
            <w:tcBorders>
              <w:top w:val="single" w:color="000000" w:sz="4" w:space="0"/>
              <w:left w:val="single" w:color="000000" w:sz="4" w:space="0"/>
              <w:bottom w:val="single" w:color="000000" w:sz="4" w:space="0"/>
              <w:right w:val="single" w:color="000000" w:sz="4" w:space="0"/>
            </w:tcBorders>
            <w:vAlign w:val="center"/>
          </w:tcPr>
          <w:p w14:paraId="18E7BFB3">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基层医疗-影像前置机</w:t>
            </w:r>
          </w:p>
        </w:tc>
        <w:tc>
          <w:tcPr>
            <w:tcW w:w="2742" w:type="pct"/>
            <w:tcBorders>
              <w:top w:val="single" w:color="000000" w:sz="4" w:space="0"/>
              <w:left w:val="single" w:color="000000" w:sz="4" w:space="0"/>
              <w:bottom w:val="single" w:color="000000" w:sz="4" w:space="0"/>
              <w:right w:val="single" w:color="000000" w:sz="4" w:space="0"/>
            </w:tcBorders>
            <w:vAlign w:val="center"/>
          </w:tcPr>
          <w:p w14:paraId="0DB1F9D7">
            <w:pPr>
              <w:widowControl/>
              <w:textAlignment w:val="center"/>
              <w:rPr>
                <w:rFonts w:hint="eastAsia" w:ascii="宋体" w:hAnsi="宋体" w:eastAsia="宋体" w:cs="宋体"/>
                <w:sz w:val="20"/>
                <w:szCs w:val="20"/>
              </w:rPr>
            </w:pPr>
            <w:r>
              <w:rPr>
                <w:rStyle w:val="39"/>
                <w:rFonts w:hint="default"/>
                <w:color w:val="auto"/>
                <w:lang w:bidi="ar"/>
              </w:rPr>
              <w:t>数量:1；vCPU≥16核,内存≥16G，</w:t>
            </w:r>
            <w:r>
              <w:rPr>
                <w:rStyle w:val="40"/>
                <w:rFonts w:hint="default"/>
                <w:color w:val="auto"/>
                <w:lang w:bidi="ar"/>
              </w:rPr>
              <w:t>系统盘≥50G,数据盘≥1T；</w:t>
            </w:r>
            <w:r>
              <w:rPr>
                <w:rStyle w:val="40"/>
                <w:color w:val="auto"/>
                <w:lang w:bidi="ar"/>
              </w:rPr>
              <w:t>服务期一年</w:t>
            </w:r>
          </w:p>
        </w:tc>
      </w:tr>
      <w:tr w14:paraId="3E9540ED">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141E4C54">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14</w:t>
            </w:r>
          </w:p>
        </w:tc>
        <w:tc>
          <w:tcPr>
            <w:tcW w:w="1747" w:type="pct"/>
            <w:tcBorders>
              <w:top w:val="single" w:color="000000" w:sz="4" w:space="0"/>
              <w:left w:val="single" w:color="000000" w:sz="4" w:space="0"/>
              <w:bottom w:val="single" w:color="000000" w:sz="4" w:space="0"/>
              <w:right w:val="single" w:color="000000" w:sz="4" w:space="0"/>
            </w:tcBorders>
            <w:vAlign w:val="center"/>
          </w:tcPr>
          <w:p w14:paraId="6962DF65">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堡垒机</w:t>
            </w:r>
          </w:p>
        </w:tc>
        <w:tc>
          <w:tcPr>
            <w:tcW w:w="2742" w:type="pct"/>
            <w:tcBorders>
              <w:top w:val="single" w:color="000000" w:sz="4" w:space="0"/>
              <w:left w:val="single" w:color="000000" w:sz="4" w:space="0"/>
              <w:bottom w:val="single" w:color="000000" w:sz="4" w:space="0"/>
              <w:right w:val="single" w:color="000000" w:sz="4" w:space="0"/>
            </w:tcBorders>
            <w:vAlign w:val="center"/>
          </w:tcPr>
          <w:p w14:paraId="11211E54">
            <w:pPr>
              <w:widowControl/>
              <w:textAlignment w:val="center"/>
              <w:rPr>
                <w:rFonts w:hint="eastAsia" w:ascii="宋体" w:hAnsi="宋体" w:eastAsia="宋体" w:cs="宋体"/>
                <w:sz w:val="20"/>
                <w:szCs w:val="20"/>
              </w:rPr>
            </w:pPr>
            <w:r>
              <w:rPr>
                <w:rStyle w:val="39"/>
                <w:rFonts w:hint="default"/>
                <w:color w:val="auto"/>
                <w:lang w:bidi="ar"/>
              </w:rPr>
              <w:t>数量:1；vCPU≥16核,内存≥16G，</w:t>
            </w:r>
            <w:r>
              <w:rPr>
                <w:rStyle w:val="40"/>
                <w:rFonts w:hint="default"/>
                <w:color w:val="auto"/>
                <w:lang w:bidi="ar"/>
              </w:rPr>
              <w:t>系统盘≥50G,数据盘≥0.25T；</w:t>
            </w:r>
            <w:r>
              <w:rPr>
                <w:rStyle w:val="40"/>
                <w:color w:val="auto"/>
                <w:lang w:bidi="ar"/>
              </w:rPr>
              <w:t>服务期一年</w:t>
            </w:r>
          </w:p>
        </w:tc>
      </w:tr>
      <w:tr w14:paraId="6730B054">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7EE897B7">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15</w:t>
            </w:r>
          </w:p>
        </w:tc>
        <w:tc>
          <w:tcPr>
            <w:tcW w:w="1747" w:type="pct"/>
            <w:tcBorders>
              <w:top w:val="single" w:color="000000" w:sz="4" w:space="0"/>
              <w:left w:val="single" w:color="000000" w:sz="4" w:space="0"/>
              <w:bottom w:val="single" w:color="000000" w:sz="4" w:space="0"/>
              <w:right w:val="single" w:color="000000" w:sz="4" w:space="0"/>
            </w:tcBorders>
            <w:vAlign w:val="center"/>
          </w:tcPr>
          <w:p w14:paraId="3C113C98">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电子病历共享工程--电子病例FTP服务器</w:t>
            </w:r>
          </w:p>
        </w:tc>
        <w:tc>
          <w:tcPr>
            <w:tcW w:w="2742" w:type="pct"/>
            <w:tcBorders>
              <w:top w:val="single" w:color="000000" w:sz="4" w:space="0"/>
              <w:left w:val="single" w:color="000000" w:sz="4" w:space="0"/>
              <w:bottom w:val="single" w:color="000000" w:sz="4" w:space="0"/>
              <w:right w:val="single" w:color="000000" w:sz="4" w:space="0"/>
            </w:tcBorders>
            <w:vAlign w:val="center"/>
          </w:tcPr>
          <w:p w14:paraId="7C4E6975">
            <w:pPr>
              <w:widowControl/>
              <w:textAlignment w:val="center"/>
              <w:rPr>
                <w:rFonts w:hint="eastAsia" w:ascii="宋体" w:hAnsi="宋体" w:eastAsia="宋体" w:cs="宋体"/>
                <w:sz w:val="20"/>
                <w:szCs w:val="20"/>
              </w:rPr>
            </w:pPr>
            <w:r>
              <w:rPr>
                <w:rStyle w:val="39"/>
                <w:rFonts w:hint="default"/>
                <w:color w:val="auto"/>
                <w:lang w:bidi="ar"/>
              </w:rPr>
              <w:t>数量:1；vCPU≥16核,内存≥16G，</w:t>
            </w:r>
            <w:r>
              <w:rPr>
                <w:rStyle w:val="40"/>
                <w:rFonts w:hint="default"/>
                <w:color w:val="auto"/>
                <w:lang w:bidi="ar"/>
              </w:rPr>
              <w:t>系统盘≥50G,数据盘≥2T；</w:t>
            </w:r>
            <w:r>
              <w:rPr>
                <w:rStyle w:val="40"/>
                <w:color w:val="auto"/>
                <w:lang w:bidi="ar"/>
              </w:rPr>
              <w:t>服务期一年</w:t>
            </w:r>
          </w:p>
        </w:tc>
      </w:tr>
      <w:tr w14:paraId="6CAC04CA">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51E9660C">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16</w:t>
            </w:r>
          </w:p>
        </w:tc>
        <w:tc>
          <w:tcPr>
            <w:tcW w:w="1747" w:type="pct"/>
            <w:tcBorders>
              <w:top w:val="single" w:color="000000" w:sz="4" w:space="0"/>
              <w:left w:val="single" w:color="000000" w:sz="4" w:space="0"/>
              <w:bottom w:val="single" w:color="000000" w:sz="4" w:space="0"/>
              <w:right w:val="single" w:color="000000" w:sz="4" w:space="0"/>
            </w:tcBorders>
            <w:vAlign w:val="center"/>
          </w:tcPr>
          <w:p w14:paraId="01FCCAE8">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医共体基础平台-前置机</w:t>
            </w:r>
          </w:p>
        </w:tc>
        <w:tc>
          <w:tcPr>
            <w:tcW w:w="2742" w:type="pct"/>
            <w:tcBorders>
              <w:top w:val="single" w:color="000000" w:sz="4" w:space="0"/>
              <w:left w:val="single" w:color="000000" w:sz="4" w:space="0"/>
              <w:bottom w:val="single" w:color="000000" w:sz="4" w:space="0"/>
              <w:right w:val="single" w:color="000000" w:sz="4" w:space="0"/>
            </w:tcBorders>
            <w:vAlign w:val="center"/>
          </w:tcPr>
          <w:p w14:paraId="5A00D303">
            <w:pPr>
              <w:widowControl/>
              <w:textAlignment w:val="center"/>
              <w:rPr>
                <w:rFonts w:hint="eastAsia" w:ascii="宋体" w:hAnsi="宋体" w:eastAsia="宋体" w:cs="宋体"/>
                <w:sz w:val="20"/>
                <w:szCs w:val="20"/>
              </w:rPr>
            </w:pPr>
            <w:r>
              <w:rPr>
                <w:rStyle w:val="39"/>
                <w:rFonts w:hint="default"/>
                <w:color w:val="auto"/>
                <w:lang w:bidi="ar"/>
              </w:rPr>
              <w:t>数量:4；vCPU≥8核,内存≥16G，</w:t>
            </w:r>
            <w:r>
              <w:rPr>
                <w:rStyle w:val="40"/>
                <w:rFonts w:hint="default"/>
                <w:color w:val="auto"/>
                <w:lang w:bidi="ar"/>
              </w:rPr>
              <w:t>系统盘≥50G,数据盘≥1T；</w:t>
            </w:r>
            <w:r>
              <w:rPr>
                <w:rStyle w:val="40"/>
                <w:color w:val="auto"/>
                <w:lang w:bidi="ar"/>
              </w:rPr>
              <w:t>服务期一年</w:t>
            </w:r>
          </w:p>
        </w:tc>
      </w:tr>
      <w:tr w14:paraId="7109820E">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1E409D0A">
            <w:pPr>
              <w:widowControl/>
              <w:jc w:val="center"/>
              <w:textAlignment w:val="center"/>
              <w:rPr>
                <w:rFonts w:hint="eastAsia" w:ascii="宋体" w:hAnsi="宋体" w:eastAsia="宋体" w:cs="宋体"/>
                <w:sz w:val="20"/>
                <w:szCs w:val="20"/>
              </w:rPr>
            </w:pPr>
            <w:r>
              <w:rPr>
                <w:rFonts w:hint="eastAsia" w:ascii="宋体" w:hAnsi="宋体" w:eastAsia="宋体" w:cs="宋体"/>
                <w:kern w:val="0"/>
                <w:sz w:val="22"/>
                <w:lang w:bidi="ar"/>
              </w:rPr>
              <w:t>17</w:t>
            </w:r>
          </w:p>
        </w:tc>
        <w:tc>
          <w:tcPr>
            <w:tcW w:w="1747" w:type="pct"/>
            <w:tcBorders>
              <w:top w:val="single" w:color="000000" w:sz="4" w:space="0"/>
              <w:left w:val="single" w:color="000000" w:sz="4" w:space="0"/>
              <w:bottom w:val="single" w:color="000000" w:sz="4" w:space="0"/>
              <w:right w:val="single" w:color="000000" w:sz="4" w:space="0"/>
            </w:tcBorders>
            <w:vAlign w:val="center"/>
          </w:tcPr>
          <w:p w14:paraId="2FD55297">
            <w:pPr>
              <w:widowControl/>
              <w:textAlignment w:val="center"/>
              <w:rPr>
                <w:rFonts w:hint="eastAsia" w:ascii="宋体" w:hAnsi="宋体" w:eastAsia="宋体" w:cs="宋体"/>
                <w:sz w:val="20"/>
                <w:szCs w:val="20"/>
              </w:rPr>
            </w:pPr>
            <w:r>
              <w:rPr>
                <w:rFonts w:hint="eastAsia" w:ascii="宋体" w:hAnsi="宋体" w:eastAsia="宋体" w:cs="宋体"/>
                <w:kern w:val="0"/>
                <w:sz w:val="22"/>
                <w:lang w:bidi="ar"/>
              </w:rPr>
              <w:t>四大协同中心平台</w:t>
            </w:r>
          </w:p>
        </w:tc>
        <w:tc>
          <w:tcPr>
            <w:tcW w:w="2742" w:type="pct"/>
            <w:tcBorders>
              <w:top w:val="single" w:color="000000" w:sz="4" w:space="0"/>
              <w:left w:val="single" w:color="000000" w:sz="4" w:space="0"/>
              <w:bottom w:val="single" w:color="000000" w:sz="4" w:space="0"/>
              <w:right w:val="single" w:color="000000" w:sz="4" w:space="0"/>
            </w:tcBorders>
            <w:vAlign w:val="center"/>
          </w:tcPr>
          <w:p w14:paraId="25CE290C">
            <w:pPr>
              <w:widowControl/>
              <w:textAlignment w:val="center"/>
              <w:rPr>
                <w:rFonts w:hint="eastAsia" w:ascii="宋体" w:hAnsi="宋体" w:eastAsia="宋体" w:cs="宋体"/>
                <w:sz w:val="20"/>
                <w:szCs w:val="20"/>
              </w:rPr>
            </w:pPr>
            <w:r>
              <w:rPr>
                <w:rStyle w:val="39"/>
                <w:rFonts w:hint="default"/>
                <w:color w:val="auto"/>
                <w:lang w:bidi="ar"/>
              </w:rPr>
              <w:t>数量:1；vCPU≥16核,内存≥32G，</w:t>
            </w:r>
            <w:r>
              <w:rPr>
                <w:rStyle w:val="40"/>
                <w:rFonts w:hint="default"/>
                <w:color w:val="auto"/>
                <w:lang w:bidi="ar"/>
              </w:rPr>
              <w:t>系统盘≥50G,数据盘≥0.5T；</w:t>
            </w:r>
            <w:r>
              <w:rPr>
                <w:rStyle w:val="40"/>
                <w:color w:val="auto"/>
                <w:lang w:bidi="ar"/>
              </w:rPr>
              <w:t>服务期一年</w:t>
            </w:r>
          </w:p>
        </w:tc>
      </w:tr>
      <w:tr w14:paraId="5F59D577">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14CF44FB">
            <w:pPr>
              <w:widowControl/>
              <w:jc w:val="center"/>
              <w:textAlignment w:val="center"/>
              <w:rPr>
                <w:rFonts w:hint="eastAsia" w:ascii="宋体" w:hAnsi="宋体" w:eastAsia="宋体" w:cs="宋体"/>
                <w:kern w:val="0"/>
                <w:sz w:val="22"/>
                <w:lang w:bidi="ar"/>
              </w:rPr>
            </w:pPr>
            <w:r>
              <w:rPr>
                <w:rFonts w:hint="eastAsia" w:ascii="宋体" w:hAnsi="宋体" w:eastAsia="宋体" w:cs="宋体"/>
                <w:kern w:val="0"/>
                <w:sz w:val="22"/>
                <w:lang w:bidi="ar"/>
              </w:rPr>
              <w:t>18</w:t>
            </w:r>
          </w:p>
        </w:tc>
        <w:tc>
          <w:tcPr>
            <w:tcW w:w="1747" w:type="pct"/>
            <w:tcBorders>
              <w:top w:val="single" w:color="000000" w:sz="4" w:space="0"/>
              <w:left w:val="single" w:color="000000" w:sz="4" w:space="0"/>
              <w:bottom w:val="single" w:color="000000" w:sz="4" w:space="0"/>
              <w:right w:val="single" w:color="000000" w:sz="4" w:space="0"/>
            </w:tcBorders>
            <w:vAlign w:val="center"/>
          </w:tcPr>
          <w:p w14:paraId="6E960841">
            <w:pPr>
              <w:widowControl/>
              <w:jc w:val="left"/>
              <w:textAlignment w:val="center"/>
              <w:rPr>
                <w:rFonts w:hint="eastAsia" w:ascii="宋体" w:hAnsi="宋体" w:eastAsia="宋体" w:cs="宋体"/>
                <w:kern w:val="0"/>
                <w:sz w:val="22"/>
                <w:lang w:bidi="ar"/>
              </w:rPr>
            </w:pPr>
            <w:r>
              <w:rPr>
                <w:rFonts w:hint="eastAsia" w:ascii="宋体" w:hAnsi="宋体" w:eastAsia="宋体" w:cs="宋体"/>
                <w:kern w:val="0"/>
                <w:sz w:val="22"/>
                <w:lang w:bidi="ar"/>
              </w:rPr>
              <w:t>秩序合理</w:t>
            </w:r>
          </w:p>
        </w:tc>
        <w:tc>
          <w:tcPr>
            <w:tcW w:w="2742" w:type="pct"/>
            <w:tcBorders>
              <w:top w:val="single" w:color="000000" w:sz="4" w:space="0"/>
              <w:left w:val="single" w:color="000000" w:sz="4" w:space="0"/>
              <w:bottom w:val="single" w:color="000000" w:sz="4" w:space="0"/>
              <w:right w:val="single" w:color="000000" w:sz="4" w:space="0"/>
            </w:tcBorders>
            <w:vAlign w:val="center"/>
          </w:tcPr>
          <w:p w14:paraId="0CC792DD">
            <w:pPr>
              <w:widowControl/>
              <w:jc w:val="left"/>
              <w:textAlignment w:val="center"/>
              <w:rPr>
                <w:rFonts w:hint="eastAsia" w:ascii="宋体" w:hAnsi="宋体" w:eastAsia="宋体" w:cs="宋体"/>
                <w:kern w:val="0"/>
                <w:sz w:val="22"/>
                <w:lang w:bidi="ar"/>
              </w:rPr>
            </w:pPr>
            <w:r>
              <w:rPr>
                <w:rFonts w:hint="eastAsia" w:ascii="宋体" w:hAnsi="宋体" w:eastAsia="宋体" w:cs="宋体"/>
                <w:kern w:val="0"/>
                <w:sz w:val="22"/>
                <w:lang w:bidi="ar"/>
              </w:rPr>
              <w:t>数量:2；vCPU≥32核,内存≥64G，系统盘≥100G,数据盘≥0.5T</w:t>
            </w:r>
            <w:r>
              <w:rPr>
                <w:rStyle w:val="40"/>
                <w:rFonts w:hint="default"/>
                <w:color w:val="auto"/>
                <w:lang w:bidi="ar"/>
              </w:rPr>
              <w:t>；</w:t>
            </w:r>
            <w:r>
              <w:rPr>
                <w:rStyle w:val="40"/>
                <w:color w:val="auto"/>
                <w:lang w:bidi="ar"/>
              </w:rPr>
              <w:t>服务期一年</w:t>
            </w:r>
          </w:p>
        </w:tc>
      </w:tr>
      <w:tr w14:paraId="153582E8">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145F2461">
            <w:pPr>
              <w:widowControl/>
              <w:jc w:val="center"/>
              <w:textAlignment w:val="center"/>
              <w:rPr>
                <w:rFonts w:hint="eastAsia" w:ascii="宋体" w:hAnsi="宋体" w:eastAsia="宋体" w:cs="宋体"/>
                <w:kern w:val="0"/>
                <w:sz w:val="22"/>
                <w:lang w:bidi="ar"/>
              </w:rPr>
            </w:pPr>
            <w:r>
              <w:rPr>
                <w:rFonts w:hint="eastAsia" w:ascii="宋体" w:hAnsi="宋体" w:eastAsia="宋体" w:cs="宋体"/>
                <w:kern w:val="0"/>
                <w:sz w:val="22"/>
                <w:lang w:bidi="ar"/>
              </w:rPr>
              <w:t>19</w:t>
            </w:r>
          </w:p>
        </w:tc>
        <w:tc>
          <w:tcPr>
            <w:tcW w:w="1747" w:type="pct"/>
            <w:tcBorders>
              <w:top w:val="single" w:color="000000" w:sz="4" w:space="0"/>
              <w:left w:val="single" w:color="000000" w:sz="4" w:space="0"/>
              <w:bottom w:val="single" w:color="000000" w:sz="4" w:space="0"/>
              <w:right w:val="single" w:color="000000" w:sz="4" w:space="0"/>
            </w:tcBorders>
            <w:vAlign w:val="center"/>
          </w:tcPr>
          <w:p w14:paraId="2103512A">
            <w:pPr>
              <w:widowControl/>
              <w:jc w:val="left"/>
              <w:textAlignment w:val="center"/>
              <w:rPr>
                <w:rFonts w:hint="eastAsia" w:ascii="宋体" w:hAnsi="宋体" w:eastAsia="宋体" w:cs="宋体"/>
                <w:kern w:val="0"/>
                <w:sz w:val="22"/>
                <w:lang w:bidi="ar"/>
              </w:rPr>
            </w:pPr>
            <w:r>
              <w:rPr>
                <w:rFonts w:hint="eastAsia" w:ascii="宋体" w:hAnsi="宋体" w:eastAsia="宋体" w:cs="宋体"/>
                <w:kern w:val="0"/>
                <w:sz w:val="22"/>
                <w:lang w:bidi="ar"/>
              </w:rPr>
              <w:t>医共体综合运营监管</w:t>
            </w:r>
          </w:p>
        </w:tc>
        <w:tc>
          <w:tcPr>
            <w:tcW w:w="2742" w:type="pct"/>
            <w:tcBorders>
              <w:top w:val="single" w:color="000000" w:sz="4" w:space="0"/>
              <w:left w:val="single" w:color="000000" w:sz="4" w:space="0"/>
              <w:bottom w:val="single" w:color="000000" w:sz="4" w:space="0"/>
              <w:right w:val="single" w:color="000000" w:sz="4" w:space="0"/>
            </w:tcBorders>
            <w:vAlign w:val="center"/>
          </w:tcPr>
          <w:p w14:paraId="174D8D61">
            <w:pPr>
              <w:widowControl/>
              <w:jc w:val="left"/>
              <w:textAlignment w:val="center"/>
              <w:rPr>
                <w:rFonts w:hint="eastAsia" w:ascii="宋体" w:hAnsi="宋体" w:eastAsia="宋体" w:cs="宋体"/>
                <w:kern w:val="0"/>
                <w:sz w:val="22"/>
                <w:lang w:bidi="ar"/>
              </w:rPr>
            </w:pPr>
            <w:r>
              <w:rPr>
                <w:rFonts w:hint="eastAsia" w:ascii="宋体" w:hAnsi="宋体" w:eastAsia="宋体" w:cs="宋体"/>
                <w:kern w:val="0"/>
                <w:sz w:val="22"/>
                <w:lang w:bidi="ar"/>
              </w:rPr>
              <w:t>数量:2；vCPU≥32核,内存≥64G，系统盘≥100G,数据盘≥1T</w:t>
            </w:r>
            <w:r>
              <w:rPr>
                <w:rStyle w:val="40"/>
                <w:rFonts w:hint="default"/>
                <w:color w:val="auto"/>
                <w:lang w:bidi="ar"/>
              </w:rPr>
              <w:t>；</w:t>
            </w:r>
            <w:r>
              <w:rPr>
                <w:rStyle w:val="40"/>
                <w:color w:val="auto"/>
                <w:lang w:bidi="ar"/>
              </w:rPr>
              <w:t>服务期一年</w:t>
            </w:r>
          </w:p>
        </w:tc>
      </w:tr>
      <w:tr w14:paraId="3C4A1B0B">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40EBA864">
            <w:pPr>
              <w:widowControl/>
              <w:jc w:val="center"/>
              <w:textAlignment w:val="center"/>
              <w:rPr>
                <w:rFonts w:hint="eastAsia" w:ascii="宋体" w:hAnsi="宋体" w:eastAsia="宋体" w:cs="宋体"/>
                <w:kern w:val="0"/>
                <w:sz w:val="20"/>
                <w:szCs w:val="20"/>
                <w:lang w:bidi="ar"/>
              </w:rPr>
            </w:pPr>
            <w:r>
              <w:rPr>
                <w:rFonts w:hint="eastAsia" w:ascii="宋体" w:hAnsi="宋体" w:eastAsia="宋体" w:cs="宋体"/>
                <w:kern w:val="0"/>
                <w:sz w:val="22"/>
                <w:lang w:bidi="ar"/>
              </w:rPr>
              <w:t>20</w:t>
            </w:r>
          </w:p>
        </w:tc>
        <w:tc>
          <w:tcPr>
            <w:tcW w:w="1747" w:type="pct"/>
            <w:tcBorders>
              <w:top w:val="single" w:color="000000" w:sz="4" w:space="0"/>
              <w:left w:val="single" w:color="000000" w:sz="4" w:space="0"/>
              <w:bottom w:val="single" w:color="000000" w:sz="4" w:space="0"/>
              <w:right w:val="single" w:color="000000" w:sz="4" w:space="0"/>
            </w:tcBorders>
            <w:vAlign w:val="center"/>
          </w:tcPr>
          <w:p w14:paraId="2BA7E151">
            <w:pPr>
              <w:widowControl/>
              <w:jc w:val="left"/>
              <w:textAlignment w:val="center"/>
              <w:rPr>
                <w:rFonts w:hint="eastAsia" w:ascii="宋体" w:hAnsi="宋体" w:eastAsia="宋体" w:cs="宋体"/>
                <w:kern w:val="0"/>
                <w:sz w:val="22"/>
                <w:lang w:bidi="ar"/>
              </w:rPr>
            </w:pPr>
            <w:r>
              <w:rPr>
                <w:rFonts w:hint="eastAsia" w:ascii="宋体" w:hAnsi="宋体" w:eastAsia="宋体" w:cs="宋体"/>
                <w:kern w:val="0"/>
                <w:sz w:val="22"/>
                <w:lang w:bidi="ar"/>
              </w:rPr>
              <w:t>NAT网关（小型）</w:t>
            </w:r>
          </w:p>
        </w:tc>
        <w:tc>
          <w:tcPr>
            <w:tcW w:w="2742" w:type="pct"/>
            <w:tcBorders>
              <w:top w:val="single" w:color="000000" w:sz="4" w:space="0"/>
              <w:left w:val="single" w:color="000000" w:sz="4" w:space="0"/>
              <w:bottom w:val="single" w:color="000000" w:sz="4" w:space="0"/>
              <w:right w:val="single" w:color="000000" w:sz="4" w:space="0"/>
            </w:tcBorders>
            <w:vAlign w:val="center"/>
          </w:tcPr>
          <w:p w14:paraId="627BA3DC">
            <w:pPr>
              <w:widowControl/>
              <w:textAlignment w:val="center"/>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数量</w:t>
            </w:r>
            <w:r>
              <w:rPr>
                <w:rFonts w:hint="eastAsia" w:ascii="宋体" w:hAnsi="宋体" w:eastAsia="宋体" w:cs="宋体"/>
                <w:kern w:val="0"/>
                <w:sz w:val="22"/>
                <w:lang w:bidi="ar"/>
              </w:rPr>
              <w:t>:</w:t>
            </w:r>
            <w:r>
              <w:rPr>
                <w:rFonts w:hint="eastAsia" w:ascii="宋体" w:hAnsi="宋体" w:eastAsia="宋体" w:cs="宋体"/>
                <w:kern w:val="0"/>
                <w:sz w:val="20"/>
                <w:szCs w:val="20"/>
                <w:lang w:bidi="ar"/>
              </w:rPr>
              <w:t>1；规模≥小型</w:t>
            </w:r>
            <w:r>
              <w:rPr>
                <w:rStyle w:val="40"/>
                <w:rFonts w:hint="default"/>
                <w:color w:val="auto"/>
                <w:lang w:bidi="ar"/>
              </w:rPr>
              <w:t>；</w:t>
            </w:r>
            <w:r>
              <w:rPr>
                <w:rStyle w:val="40"/>
                <w:color w:val="auto"/>
                <w:lang w:bidi="ar"/>
              </w:rPr>
              <w:t>服务期一年</w:t>
            </w:r>
          </w:p>
        </w:tc>
      </w:tr>
      <w:tr w14:paraId="357947F0">
        <w:tblPrEx>
          <w:tblCellMar>
            <w:top w:w="85" w:type="dxa"/>
            <w:left w:w="28" w:type="dxa"/>
            <w:bottom w:w="85" w:type="dxa"/>
            <w:right w:w="28" w:type="dxa"/>
          </w:tblCellMar>
        </w:tblPrEx>
        <w:tc>
          <w:tcPr>
            <w:tcW w:w="510" w:type="pct"/>
            <w:tcBorders>
              <w:top w:val="single" w:color="000000" w:sz="4" w:space="0"/>
              <w:left w:val="single" w:color="000000" w:sz="4" w:space="0"/>
              <w:bottom w:val="single" w:color="000000" w:sz="4" w:space="0"/>
              <w:right w:val="single" w:color="000000" w:sz="4" w:space="0"/>
            </w:tcBorders>
            <w:noWrap/>
            <w:vAlign w:val="center"/>
          </w:tcPr>
          <w:p w14:paraId="01FC52F6">
            <w:pPr>
              <w:widowControl/>
              <w:jc w:val="center"/>
              <w:textAlignment w:val="center"/>
              <w:rPr>
                <w:rFonts w:hint="eastAsia" w:ascii="宋体" w:hAnsi="宋体" w:eastAsia="宋体" w:cs="宋体"/>
                <w:kern w:val="0"/>
                <w:sz w:val="20"/>
                <w:szCs w:val="20"/>
                <w:lang w:bidi="ar"/>
              </w:rPr>
            </w:pPr>
            <w:r>
              <w:rPr>
                <w:rFonts w:hint="eastAsia" w:ascii="宋体" w:hAnsi="宋体" w:eastAsia="宋体" w:cs="宋体"/>
                <w:kern w:val="0"/>
                <w:sz w:val="22"/>
                <w:lang w:bidi="ar"/>
              </w:rPr>
              <w:t>21</w:t>
            </w:r>
          </w:p>
        </w:tc>
        <w:tc>
          <w:tcPr>
            <w:tcW w:w="1747" w:type="pct"/>
            <w:tcBorders>
              <w:top w:val="single" w:color="000000" w:sz="4" w:space="0"/>
              <w:left w:val="single" w:color="000000" w:sz="4" w:space="0"/>
              <w:bottom w:val="single" w:color="000000" w:sz="4" w:space="0"/>
              <w:right w:val="single" w:color="000000" w:sz="4" w:space="0"/>
            </w:tcBorders>
            <w:vAlign w:val="center"/>
          </w:tcPr>
          <w:p w14:paraId="4807524D">
            <w:pPr>
              <w:widowControl/>
              <w:jc w:val="left"/>
              <w:textAlignment w:val="center"/>
              <w:rPr>
                <w:rFonts w:hint="eastAsia" w:ascii="宋体" w:hAnsi="宋体" w:eastAsia="宋体" w:cs="宋体"/>
                <w:kern w:val="0"/>
                <w:sz w:val="22"/>
                <w:lang w:bidi="ar"/>
              </w:rPr>
            </w:pPr>
            <w:r>
              <w:rPr>
                <w:rFonts w:hint="eastAsia" w:ascii="宋体" w:hAnsi="宋体" w:eastAsia="宋体" w:cs="宋体"/>
                <w:kern w:val="0"/>
                <w:sz w:val="22"/>
                <w:lang w:bidi="ar"/>
              </w:rPr>
              <w:t>弹性公网 IP</w:t>
            </w:r>
          </w:p>
        </w:tc>
        <w:tc>
          <w:tcPr>
            <w:tcW w:w="2742" w:type="pct"/>
            <w:tcBorders>
              <w:top w:val="single" w:color="000000" w:sz="4" w:space="0"/>
              <w:left w:val="single" w:color="000000" w:sz="4" w:space="0"/>
              <w:bottom w:val="single" w:color="000000" w:sz="4" w:space="0"/>
              <w:right w:val="single" w:color="000000" w:sz="4" w:space="0"/>
            </w:tcBorders>
            <w:vAlign w:val="center"/>
          </w:tcPr>
          <w:p w14:paraId="5BED30E2">
            <w:pPr>
              <w:widowControl/>
              <w:textAlignment w:val="center"/>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数量</w:t>
            </w:r>
            <w:r>
              <w:rPr>
                <w:rFonts w:hint="eastAsia" w:ascii="宋体" w:hAnsi="宋体" w:eastAsia="宋体" w:cs="宋体"/>
                <w:kern w:val="0"/>
                <w:sz w:val="22"/>
                <w:lang w:bidi="ar"/>
              </w:rPr>
              <w:t>:</w:t>
            </w:r>
            <w:r>
              <w:rPr>
                <w:rFonts w:hint="eastAsia" w:ascii="宋体" w:hAnsi="宋体" w:eastAsia="宋体" w:cs="宋体"/>
                <w:kern w:val="0"/>
                <w:sz w:val="20"/>
                <w:szCs w:val="20"/>
                <w:lang w:bidi="ar"/>
              </w:rPr>
              <w:t>1；带宽≥20M</w:t>
            </w:r>
            <w:r>
              <w:rPr>
                <w:rStyle w:val="40"/>
                <w:rFonts w:hint="default"/>
                <w:color w:val="auto"/>
                <w:lang w:bidi="ar"/>
              </w:rPr>
              <w:t>；</w:t>
            </w:r>
            <w:r>
              <w:rPr>
                <w:rStyle w:val="40"/>
                <w:color w:val="auto"/>
                <w:lang w:bidi="ar"/>
              </w:rPr>
              <w:t>服务期一年</w:t>
            </w:r>
          </w:p>
        </w:tc>
      </w:tr>
    </w:tbl>
    <w:p w14:paraId="4DCCDA4F">
      <w:pPr>
        <w:rPr>
          <w:rFonts w:hint="default" w:ascii="宋体" w:hAnsi="宋体" w:eastAsia="黑体" w:cs="宋体"/>
          <w:color w:val="auto"/>
          <w:sz w:val="21"/>
          <w:szCs w:val="21"/>
          <w:lang w:val="en-US" w:eastAsia="zh-CN"/>
        </w:rPr>
      </w:pPr>
      <w:r>
        <w:rPr>
          <w:rFonts w:hint="eastAsia" w:ascii="黑体" w:hAnsi="黑体" w:eastAsia="黑体" w:cs="黑体"/>
          <w:b/>
          <w:bCs/>
          <w:sz w:val="24"/>
          <w:szCs w:val="24"/>
        </w:rPr>
        <w:t>（</w:t>
      </w:r>
      <w:r>
        <w:rPr>
          <w:rFonts w:hint="eastAsia" w:ascii="黑体" w:hAnsi="黑体" w:eastAsia="黑体" w:cs="黑体"/>
          <w:b/>
          <w:bCs/>
          <w:sz w:val="24"/>
          <w:szCs w:val="24"/>
          <w:lang w:val="en-US" w:eastAsia="zh-CN"/>
        </w:rPr>
        <w:t>三</w:t>
      </w:r>
      <w:r>
        <w:rPr>
          <w:rFonts w:hint="eastAsia" w:ascii="黑体" w:hAnsi="黑体" w:eastAsia="黑体" w:cs="黑体"/>
          <w:b/>
          <w:bCs/>
          <w:sz w:val="24"/>
          <w:szCs w:val="24"/>
        </w:rPr>
        <w:t>）</w:t>
      </w:r>
      <w:r>
        <w:rPr>
          <w:rFonts w:hint="eastAsia" w:ascii="黑体" w:hAnsi="黑体" w:eastAsia="黑体" w:cs="黑体"/>
          <w:b/>
          <w:bCs/>
          <w:sz w:val="24"/>
          <w:szCs w:val="24"/>
          <w:lang w:val="en-US" w:eastAsia="zh-CN"/>
        </w:rPr>
        <w:t>安全服务</w:t>
      </w:r>
    </w:p>
    <w:tbl>
      <w:tblPr>
        <w:tblStyle w:val="17"/>
        <w:tblW w:w="5000" w:type="pct"/>
        <w:tblInd w:w="0" w:type="dxa"/>
        <w:tblLayout w:type="autofit"/>
        <w:tblCellMar>
          <w:top w:w="85" w:type="dxa"/>
          <w:left w:w="28" w:type="dxa"/>
          <w:bottom w:w="85" w:type="dxa"/>
          <w:right w:w="28" w:type="dxa"/>
        </w:tblCellMar>
      </w:tblPr>
      <w:tblGrid>
        <w:gridCol w:w="1079"/>
        <w:gridCol w:w="2545"/>
        <w:gridCol w:w="10390"/>
      </w:tblGrid>
      <w:tr w14:paraId="40AC11E4">
        <w:tblPrEx>
          <w:tblCellMar>
            <w:top w:w="85" w:type="dxa"/>
            <w:left w:w="28" w:type="dxa"/>
            <w:bottom w:w="85" w:type="dxa"/>
            <w:right w:w="28" w:type="dxa"/>
          </w:tblCellMar>
        </w:tblPrEx>
        <w:tc>
          <w:tcPr>
            <w:tcW w:w="5000" w:type="pct"/>
            <w:gridSpan w:val="3"/>
            <w:tcBorders>
              <w:top w:val="single" w:color="000000" w:sz="4" w:space="0"/>
              <w:left w:val="single" w:color="000000" w:sz="4" w:space="0"/>
              <w:bottom w:val="single" w:color="000000" w:sz="4" w:space="0"/>
              <w:right w:val="single" w:color="000000" w:sz="4" w:space="0"/>
            </w:tcBorders>
            <w:shd w:val="clear" w:color="auto" w:fill="D9D9D9"/>
            <w:vAlign w:val="center"/>
          </w:tcPr>
          <w:p w14:paraId="35B37569">
            <w:pPr>
              <w:widowControl/>
              <w:jc w:val="center"/>
              <w:textAlignment w:val="center"/>
              <w:rPr>
                <w:rFonts w:hint="eastAsia" w:ascii="宋体" w:hAnsi="宋体" w:eastAsia="宋体" w:cs="宋体"/>
                <w:sz w:val="20"/>
                <w:szCs w:val="20"/>
              </w:rPr>
            </w:pPr>
            <w:r>
              <w:rPr>
                <w:rFonts w:hint="eastAsia" w:ascii="宋体" w:hAnsi="宋体" w:eastAsia="宋体" w:cs="宋体"/>
                <w:kern w:val="0"/>
                <w:sz w:val="20"/>
                <w:szCs w:val="20"/>
                <w:lang w:bidi="ar"/>
              </w:rPr>
              <w:t>技术参数</w:t>
            </w:r>
          </w:p>
        </w:tc>
      </w:tr>
      <w:tr w14:paraId="64D94157">
        <w:tblPrEx>
          <w:tblCellMar>
            <w:top w:w="85" w:type="dxa"/>
            <w:left w:w="28" w:type="dxa"/>
            <w:bottom w:w="85" w:type="dxa"/>
            <w:right w:w="28" w:type="dxa"/>
          </w:tblCellMar>
        </w:tblPrEx>
        <w:tc>
          <w:tcPr>
            <w:tcW w:w="385" w:type="pct"/>
            <w:vMerge w:val="restart"/>
            <w:tcBorders>
              <w:top w:val="single" w:color="000000" w:sz="4" w:space="0"/>
              <w:left w:val="single" w:color="000000" w:sz="4" w:space="0"/>
              <w:right w:val="single" w:color="000000" w:sz="4" w:space="0"/>
            </w:tcBorders>
            <w:noWrap/>
            <w:vAlign w:val="center"/>
          </w:tcPr>
          <w:p w14:paraId="24371C04">
            <w:pPr>
              <w:widowControl/>
              <w:jc w:val="center"/>
              <w:textAlignment w:val="center"/>
              <w:rPr>
                <w:rFonts w:hint="eastAsia" w:ascii="宋体" w:hAnsi="宋体" w:eastAsia="宋体" w:cs="宋体"/>
                <w:sz w:val="20"/>
                <w:szCs w:val="20"/>
              </w:rPr>
            </w:pPr>
            <w:r>
              <w:rPr>
                <w:rFonts w:hint="eastAsia" w:ascii="宋体" w:hAnsi="宋体" w:eastAsia="宋体" w:cs="宋体"/>
                <w:kern w:val="0"/>
                <w:sz w:val="20"/>
                <w:szCs w:val="20"/>
                <w:lang w:bidi="ar"/>
              </w:rPr>
              <w:t>1</w:t>
            </w:r>
          </w:p>
        </w:tc>
        <w:tc>
          <w:tcPr>
            <w:tcW w:w="908" w:type="pct"/>
            <w:vMerge w:val="restart"/>
            <w:tcBorders>
              <w:top w:val="single" w:color="000000" w:sz="4" w:space="0"/>
              <w:left w:val="single" w:color="000000" w:sz="4" w:space="0"/>
              <w:right w:val="single" w:color="000000" w:sz="4" w:space="0"/>
            </w:tcBorders>
            <w:vAlign w:val="center"/>
          </w:tcPr>
          <w:p w14:paraId="713A842A">
            <w:pPr>
              <w:widowControl/>
              <w:jc w:val="center"/>
              <w:textAlignment w:val="center"/>
              <w:rPr>
                <w:rFonts w:hint="eastAsia" w:ascii="宋体" w:hAnsi="宋体" w:eastAsia="宋体" w:cs="宋体"/>
                <w:sz w:val="20"/>
                <w:szCs w:val="20"/>
              </w:rPr>
            </w:pPr>
            <w:r>
              <w:rPr>
                <w:rFonts w:hint="eastAsia" w:ascii="宋体" w:hAnsi="宋体" w:eastAsia="宋体" w:cs="宋体"/>
                <w:kern w:val="0"/>
                <w:sz w:val="20"/>
                <w:szCs w:val="20"/>
                <w:lang w:bidi="ar"/>
              </w:rPr>
              <w:t>云资源</w:t>
            </w:r>
          </w:p>
        </w:tc>
        <w:tc>
          <w:tcPr>
            <w:tcW w:w="3706" w:type="pct"/>
            <w:tcBorders>
              <w:top w:val="single" w:color="000000" w:sz="4" w:space="0"/>
              <w:left w:val="single" w:color="000000" w:sz="4" w:space="0"/>
              <w:bottom w:val="single" w:color="000000" w:sz="4" w:space="0"/>
              <w:right w:val="single" w:color="000000" w:sz="4" w:space="0"/>
            </w:tcBorders>
            <w:vAlign w:val="center"/>
          </w:tcPr>
          <w:p w14:paraId="6CED40BB">
            <w:pPr>
              <w:widowControl/>
              <w:jc w:val="left"/>
              <w:rPr>
                <w:rFonts w:hint="eastAsia" w:ascii="宋体" w:hAnsi="宋体" w:eastAsia="宋体" w:cs="宋体"/>
                <w:kern w:val="0"/>
                <w:sz w:val="20"/>
                <w:szCs w:val="20"/>
                <w:lang w:bidi="ar"/>
              </w:rPr>
            </w:pPr>
            <w:r>
              <w:rPr>
                <w:rFonts w:hint="eastAsia" w:ascii="宋体" w:hAnsi="宋体" w:eastAsia="宋体" w:cs="宋体"/>
                <w:sz w:val="20"/>
                <w:szCs w:val="20"/>
              </w:rPr>
              <w:t>▲1、提供云机房、云平台二级等保或以上的评测证书（提供在有效期内的证书扫描件，并加盖投标人公章）</w:t>
            </w:r>
          </w:p>
        </w:tc>
      </w:tr>
      <w:tr w14:paraId="1D52EF18">
        <w:tblPrEx>
          <w:tblCellMar>
            <w:top w:w="85" w:type="dxa"/>
            <w:left w:w="28" w:type="dxa"/>
            <w:bottom w:w="85" w:type="dxa"/>
            <w:right w:w="28" w:type="dxa"/>
          </w:tblCellMar>
        </w:tblPrEx>
        <w:tc>
          <w:tcPr>
            <w:tcW w:w="385" w:type="pct"/>
            <w:vMerge w:val="continue"/>
            <w:tcBorders>
              <w:left w:val="single" w:color="000000" w:sz="4" w:space="0"/>
              <w:bottom w:val="single" w:color="000000" w:sz="4" w:space="0"/>
              <w:right w:val="single" w:color="000000" w:sz="4" w:space="0"/>
            </w:tcBorders>
            <w:noWrap/>
            <w:vAlign w:val="center"/>
          </w:tcPr>
          <w:p w14:paraId="7DAC86BC">
            <w:pPr>
              <w:widowControl/>
              <w:jc w:val="center"/>
              <w:textAlignment w:val="center"/>
              <w:rPr>
                <w:rFonts w:hint="eastAsia" w:ascii="宋体" w:hAnsi="宋体" w:eastAsia="宋体" w:cs="宋体"/>
                <w:sz w:val="20"/>
                <w:szCs w:val="20"/>
              </w:rPr>
            </w:pPr>
          </w:p>
        </w:tc>
        <w:tc>
          <w:tcPr>
            <w:tcW w:w="908" w:type="pct"/>
            <w:vMerge w:val="continue"/>
            <w:tcBorders>
              <w:left w:val="single" w:color="000000" w:sz="4" w:space="0"/>
              <w:bottom w:val="single" w:color="000000" w:sz="4" w:space="0"/>
              <w:right w:val="single" w:color="000000" w:sz="4" w:space="0"/>
            </w:tcBorders>
            <w:vAlign w:val="center"/>
          </w:tcPr>
          <w:p w14:paraId="5EB9DC39">
            <w:pPr>
              <w:widowControl/>
              <w:jc w:val="center"/>
              <w:textAlignment w:val="center"/>
              <w:rPr>
                <w:rFonts w:hint="eastAsia" w:ascii="宋体" w:hAnsi="宋体" w:eastAsia="宋体" w:cs="宋体"/>
                <w:sz w:val="20"/>
                <w:szCs w:val="20"/>
              </w:rPr>
            </w:pPr>
          </w:p>
        </w:tc>
        <w:tc>
          <w:tcPr>
            <w:tcW w:w="3706" w:type="pct"/>
            <w:tcBorders>
              <w:top w:val="single" w:color="000000" w:sz="4" w:space="0"/>
              <w:left w:val="single" w:color="000000" w:sz="4" w:space="0"/>
              <w:bottom w:val="single" w:color="000000" w:sz="4" w:space="0"/>
              <w:right w:val="single" w:color="000000" w:sz="4" w:space="0"/>
            </w:tcBorders>
            <w:vAlign w:val="center"/>
          </w:tcPr>
          <w:p w14:paraId="1B424F5A">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2、云服务使用管理平台需具备用户自助服务界面，用户能够通过自助服务门户完成云资源申请、使用、修改、销毁等操作。通过自服务门户能够申请的服务包括但不限于云主机、云硬盘、云负载均衡、云数据库、对象存储等；</w:t>
            </w:r>
            <w:r>
              <w:rPr>
                <w:rFonts w:hint="eastAsia" w:ascii="宋体" w:hAnsi="宋体" w:eastAsia="宋体" w:cs="宋体"/>
                <w:sz w:val="20"/>
                <w:szCs w:val="20"/>
              </w:rPr>
              <w:t>（提供相关功能界面截图）</w:t>
            </w:r>
          </w:p>
          <w:p w14:paraId="59EADE99">
            <w:pPr>
              <w:widowControl/>
              <w:jc w:val="left"/>
              <w:textAlignment w:val="center"/>
              <w:rPr>
                <w:rFonts w:hint="eastAsia" w:ascii="宋体" w:hAnsi="宋体" w:eastAsia="宋体" w:cs="宋体"/>
                <w:kern w:val="0"/>
                <w:sz w:val="20"/>
                <w:szCs w:val="20"/>
                <w:lang w:bidi="ar"/>
              </w:rPr>
            </w:pPr>
            <w:r>
              <w:rPr>
                <w:rFonts w:hint="eastAsia" w:ascii="宋体" w:hAnsi="宋体" w:eastAsia="宋体" w:cs="宋体"/>
                <w:kern w:val="0"/>
                <w:sz w:val="20"/>
                <w:szCs w:val="20"/>
                <w:lang w:bidi="ar"/>
              </w:rPr>
              <w:t>3、云平台支持适配国产化操作系统。</w:t>
            </w:r>
          </w:p>
          <w:p w14:paraId="226A888C">
            <w:pPr>
              <w:widowControl/>
              <w:jc w:val="left"/>
              <w:textAlignment w:val="center"/>
              <w:rPr>
                <w:rFonts w:hint="eastAsia" w:ascii="宋体" w:hAnsi="宋体" w:eastAsia="宋体" w:cs="宋体"/>
                <w:sz w:val="20"/>
                <w:szCs w:val="20"/>
              </w:rPr>
            </w:pPr>
            <w:r>
              <w:rPr>
                <w:rFonts w:hint="eastAsia" w:ascii="宋体" w:hAnsi="宋体" w:eastAsia="宋体" w:cs="宋体"/>
                <w:kern w:val="0"/>
                <w:sz w:val="20"/>
                <w:szCs w:val="20"/>
                <w:lang w:bidi="ar"/>
              </w:rPr>
              <w:t>4、Nat网关：小型；支持完整的生命周期管理，支持创建、修改、退订、续费、删除NAT网关实例；</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支持绑定解绑弹性公网 IP。</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支持通过将弹性公网 IP 绑定在 NAT 网关实例上，才可以配置 SNAT 和 DNAT 规则。</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支持如需解绑，需要将 EIP 相关的规则清空后解绑，不影响 EIP 本身的生命周期。</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支持配置 DNAT 规则：将 NAT 网关上的公网 IP 映射给 ECS 实例等云产品实例使用，使 ECS 实例能够提供互联网服务。</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支持配置 SNAT 规则：当 VPC 内的 ECS 需要访问公网，为了节省弹性 IP 资源并且避免云主机 IP 直接暴露在公网上，您可以使用 NAT 网关的 SNAT 功能，使 VPC内没有公网 IP 的云产品实例可以直接访问公网。</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SNAT支持最大连接数≥10000。</w:t>
            </w:r>
            <w:r>
              <w:rPr>
                <w:rFonts w:hint="eastAsia" w:ascii="宋体" w:hAnsi="宋体" w:eastAsia="宋体" w:cs="宋体"/>
                <w:sz w:val="20"/>
                <w:szCs w:val="20"/>
              </w:rPr>
              <w:t>（提供相关功能界面截图）</w:t>
            </w:r>
            <w:r>
              <w:rPr>
                <w:rFonts w:hint="eastAsia" w:ascii="宋体" w:hAnsi="宋体" w:eastAsia="宋体" w:cs="宋体"/>
                <w:kern w:val="0"/>
                <w:sz w:val="20"/>
                <w:szCs w:val="20"/>
                <w:lang w:bidi="ar"/>
              </w:rPr>
              <w:t>。</w:t>
            </w:r>
          </w:p>
          <w:p w14:paraId="6C052B16">
            <w:pPr>
              <w:widowControl/>
              <w:jc w:val="left"/>
              <w:textAlignment w:val="center"/>
              <w:rPr>
                <w:rFonts w:hint="eastAsia" w:ascii="宋体" w:hAnsi="宋体" w:eastAsia="宋体" w:cs="宋体"/>
                <w:kern w:val="0"/>
                <w:sz w:val="20"/>
                <w:szCs w:val="20"/>
                <w:lang w:bidi="ar"/>
              </w:rPr>
            </w:pPr>
            <w:r>
              <w:rPr>
                <w:rFonts w:hint="eastAsia" w:ascii="宋体" w:hAnsi="宋体" w:eastAsia="宋体" w:cs="宋体"/>
                <w:kern w:val="0"/>
                <w:sz w:val="20"/>
                <w:szCs w:val="20"/>
                <w:lang w:bidi="ar"/>
              </w:rPr>
              <w:t>5、弹性公网IP EIP：互联网出口带宽：20M； 支持弹性公网 IP 的创建、退订、查询；</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支持弹性公网 IP 的续费、升配；</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支持弹性公网 IP 绑定以及解绑云服务器、裸金属服务器以及负载均衡；</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 IPv4 以及 IPv6 带宽功能，最大带宽值可达1000Mbps；</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支持对弹性公网 IP 公网流入速率以及流出速率的监控；</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提供主子账号功能，授权不同子账号以只读权限或者操作权限操作弹性公网</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IP 资源；</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支持在用户创建资源的配额到达规定的上限后，通过工单形式，可调整配额大小，满足不同客户对于资源的需求量。</w:t>
            </w:r>
            <w:r>
              <w:rPr>
                <w:rFonts w:hint="eastAsia" w:ascii="宋体" w:hAnsi="宋体" w:eastAsia="宋体" w:cs="宋体"/>
                <w:sz w:val="20"/>
                <w:szCs w:val="20"/>
              </w:rPr>
              <w:t>（提供相关功能界面截图）</w:t>
            </w:r>
          </w:p>
        </w:tc>
      </w:tr>
    </w:tbl>
    <w:p w14:paraId="6E318350">
      <w:pPr>
        <w:rPr>
          <w:rFonts w:hint="eastAsia" w:ascii="黑体" w:hAnsi="黑体" w:eastAsia="黑体" w:cs="黑体"/>
          <w:b/>
          <w:bCs/>
          <w:sz w:val="24"/>
          <w:szCs w:val="24"/>
        </w:rPr>
      </w:pPr>
      <w:bookmarkStart w:id="1" w:name="OLE_LINK4"/>
      <w:bookmarkEnd w:id="1"/>
      <w:bookmarkStart w:id="2" w:name="OLE_LINK3"/>
      <w:bookmarkEnd w:id="2"/>
      <w:bookmarkStart w:id="3" w:name="OLE_LINK8"/>
      <w:r>
        <w:rPr>
          <w:rFonts w:hint="eastAsia" w:ascii="黑体" w:hAnsi="黑体" w:eastAsia="黑体" w:cs="黑体"/>
          <w:b/>
          <w:bCs/>
          <w:sz w:val="24"/>
          <w:szCs w:val="24"/>
        </w:rPr>
        <w:t>（</w:t>
      </w:r>
      <w:r>
        <w:rPr>
          <w:rFonts w:hint="eastAsia" w:ascii="黑体" w:hAnsi="黑体" w:eastAsia="黑体" w:cs="黑体"/>
          <w:b/>
          <w:bCs/>
          <w:sz w:val="24"/>
          <w:szCs w:val="24"/>
          <w:lang w:val="en-US" w:eastAsia="zh-CN"/>
        </w:rPr>
        <w:t>四</w:t>
      </w:r>
      <w:r>
        <w:rPr>
          <w:rFonts w:hint="eastAsia" w:ascii="黑体" w:hAnsi="黑体" w:eastAsia="黑体" w:cs="黑体"/>
          <w:b/>
          <w:bCs/>
          <w:sz w:val="24"/>
          <w:szCs w:val="24"/>
        </w:rPr>
        <w:t>）网络专线服务</w:t>
      </w:r>
    </w:p>
    <w:tbl>
      <w:tblPr>
        <w:tblStyle w:val="17"/>
        <w:tblW w:w="4997" w:type="pct"/>
        <w:jc w:val="center"/>
        <w:tblLayout w:type="autofit"/>
        <w:tblCellMar>
          <w:top w:w="85" w:type="dxa"/>
          <w:left w:w="28" w:type="dxa"/>
          <w:bottom w:w="85" w:type="dxa"/>
          <w:right w:w="28" w:type="dxa"/>
        </w:tblCellMar>
      </w:tblPr>
      <w:tblGrid>
        <w:gridCol w:w="462"/>
        <w:gridCol w:w="656"/>
        <w:gridCol w:w="12888"/>
      </w:tblGrid>
      <w:tr w14:paraId="313DB8BF">
        <w:tblPrEx>
          <w:tblCellMar>
            <w:top w:w="85" w:type="dxa"/>
            <w:left w:w="28" w:type="dxa"/>
            <w:bottom w:w="85" w:type="dxa"/>
            <w:right w:w="28" w:type="dxa"/>
          </w:tblCellMar>
        </w:tblPrEx>
        <w:trPr>
          <w:jc w:val="center"/>
        </w:trPr>
        <w:tc>
          <w:tcPr>
            <w:tcW w:w="165" w:type="pct"/>
            <w:tcBorders>
              <w:top w:val="single" w:color="000000" w:sz="4" w:space="0"/>
              <w:left w:val="single" w:color="000000" w:sz="4" w:space="0"/>
              <w:bottom w:val="single" w:color="000000" w:sz="4" w:space="0"/>
              <w:right w:val="single" w:color="000000" w:sz="4" w:space="0"/>
            </w:tcBorders>
            <w:shd w:val="clear" w:color="auto" w:fill="D9D9D9"/>
            <w:noWrap/>
            <w:vAlign w:val="bottom"/>
          </w:tcPr>
          <w:p w14:paraId="7C879802">
            <w:pPr>
              <w:widowControl/>
              <w:jc w:val="center"/>
              <w:textAlignment w:val="bottom"/>
              <w:rPr>
                <w:rFonts w:hint="eastAsia" w:ascii="宋体" w:hAnsi="宋体" w:eastAsia="宋体" w:cs="宋体"/>
                <w:b/>
                <w:bCs/>
                <w:sz w:val="20"/>
                <w:szCs w:val="20"/>
              </w:rPr>
            </w:pPr>
            <w:r>
              <w:rPr>
                <w:rFonts w:hint="eastAsia" w:ascii="宋体" w:hAnsi="宋体" w:eastAsia="宋体" w:cs="宋体"/>
                <w:b/>
                <w:bCs/>
                <w:kern w:val="0"/>
                <w:sz w:val="20"/>
                <w:szCs w:val="20"/>
                <w:lang w:bidi="ar"/>
              </w:rPr>
              <w:t>序号</w:t>
            </w:r>
          </w:p>
        </w:tc>
        <w:tc>
          <w:tcPr>
            <w:tcW w:w="4834" w:type="pct"/>
            <w:gridSpan w:val="2"/>
            <w:tcBorders>
              <w:top w:val="single" w:color="000000" w:sz="4" w:space="0"/>
              <w:left w:val="single" w:color="000000" w:sz="4" w:space="0"/>
              <w:bottom w:val="single" w:color="000000" w:sz="4" w:space="0"/>
              <w:right w:val="single" w:color="000000" w:sz="4" w:space="0"/>
            </w:tcBorders>
            <w:shd w:val="clear" w:color="auto" w:fill="D9D9D9"/>
            <w:vAlign w:val="center"/>
          </w:tcPr>
          <w:p w14:paraId="78DF7FFB">
            <w:pPr>
              <w:widowControl/>
              <w:jc w:val="center"/>
              <w:textAlignment w:val="center"/>
              <w:rPr>
                <w:rFonts w:hint="eastAsia" w:ascii="宋体" w:hAnsi="宋体" w:eastAsia="宋体" w:cs="宋体"/>
                <w:b/>
                <w:bCs/>
                <w:kern w:val="0"/>
                <w:sz w:val="20"/>
                <w:szCs w:val="20"/>
                <w:lang w:bidi="ar"/>
              </w:rPr>
            </w:pPr>
            <w:r>
              <w:rPr>
                <w:rFonts w:hint="eastAsia" w:ascii="宋体" w:hAnsi="宋体" w:eastAsia="宋体" w:cs="宋体"/>
                <w:b/>
                <w:bCs/>
                <w:kern w:val="0"/>
                <w:sz w:val="20"/>
                <w:szCs w:val="20"/>
                <w:lang w:bidi="ar"/>
              </w:rPr>
              <w:t>具体要求</w:t>
            </w:r>
          </w:p>
        </w:tc>
      </w:tr>
      <w:tr w14:paraId="113CB517">
        <w:tblPrEx>
          <w:tblCellMar>
            <w:top w:w="85" w:type="dxa"/>
            <w:left w:w="28" w:type="dxa"/>
            <w:bottom w:w="85" w:type="dxa"/>
            <w:right w:w="28" w:type="dxa"/>
          </w:tblCellMar>
        </w:tblPrEx>
        <w:trPr>
          <w:jc w:val="center"/>
        </w:trPr>
        <w:tc>
          <w:tcPr>
            <w:tcW w:w="165" w:type="pct"/>
            <w:vMerge w:val="restart"/>
            <w:tcBorders>
              <w:top w:val="single" w:color="000000" w:sz="4" w:space="0"/>
              <w:left w:val="single" w:color="000000" w:sz="4" w:space="0"/>
              <w:bottom w:val="single" w:color="000000" w:sz="4" w:space="0"/>
              <w:right w:val="single" w:color="000000" w:sz="4" w:space="0"/>
            </w:tcBorders>
            <w:noWrap/>
            <w:vAlign w:val="center"/>
          </w:tcPr>
          <w:p w14:paraId="27E534E8">
            <w:pPr>
              <w:widowControl/>
              <w:jc w:val="center"/>
              <w:textAlignment w:val="center"/>
              <w:rPr>
                <w:rFonts w:hint="eastAsia" w:ascii="宋体" w:hAnsi="宋体" w:eastAsia="宋体" w:cs="宋体"/>
                <w:sz w:val="20"/>
                <w:szCs w:val="20"/>
              </w:rPr>
            </w:pPr>
            <w:r>
              <w:rPr>
                <w:rFonts w:hint="eastAsia" w:ascii="宋体" w:hAnsi="宋体" w:eastAsia="宋体" w:cs="宋体"/>
                <w:kern w:val="0"/>
                <w:sz w:val="20"/>
                <w:szCs w:val="20"/>
                <w:lang w:bidi="ar"/>
              </w:rPr>
              <w:t>1</w:t>
            </w:r>
          </w:p>
        </w:tc>
        <w:tc>
          <w:tcPr>
            <w:tcW w:w="234" w:type="pct"/>
            <w:vMerge w:val="restart"/>
            <w:tcBorders>
              <w:top w:val="single" w:color="000000" w:sz="4" w:space="0"/>
              <w:left w:val="single" w:color="000000" w:sz="4" w:space="0"/>
              <w:bottom w:val="single" w:color="000000" w:sz="4" w:space="0"/>
              <w:right w:val="single" w:color="000000" w:sz="4" w:space="0"/>
            </w:tcBorders>
            <w:noWrap/>
            <w:vAlign w:val="center"/>
          </w:tcPr>
          <w:p w14:paraId="1F2B60A1">
            <w:pPr>
              <w:widowControl/>
              <w:jc w:val="center"/>
              <w:textAlignment w:val="center"/>
              <w:rPr>
                <w:rFonts w:hint="eastAsia" w:ascii="宋体" w:hAnsi="宋体" w:eastAsia="宋体" w:cs="宋体"/>
                <w:sz w:val="20"/>
                <w:szCs w:val="20"/>
              </w:rPr>
            </w:pPr>
            <w:r>
              <w:rPr>
                <w:rFonts w:hint="eastAsia" w:ascii="宋体" w:hAnsi="宋体" w:eastAsia="宋体" w:cs="宋体"/>
                <w:kern w:val="0"/>
                <w:sz w:val="20"/>
                <w:szCs w:val="20"/>
                <w:lang w:bidi="ar"/>
              </w:rPr>
              <w:t>云专线</w:t>
            </w:r>
          </w:p>
        </w:tc>
        <w:tc>
          <w:tcPr>
            <w:tcW w:w="4600" w:type="pct"/>
            <w:tcBorders>
              <w:top w:val="single" w:color="000000" w:sz="4" w:space="0"/>
              <w:left w:val="single" w:color="000000" w:sz="4" w:space="0"/>
              <w:bottom w:val="single" w:color="000000" w:sz="4" w:space="0"/>
              <w:right w:val="single" w:color="000000" w:sz="4" w:space="0"/>
            </w:tcBorders>
            <w:vAlign w:val="bottom"/>
          </w:tcPr>
          <w:p w14:paraId="5E26CABE">
            <w:pPr>
              <w:widowControl/>
              <w:jc w:val="left"/>
              <w:textAlignment w:val="bottom"/>
              <w:rPr>
                <w:rFonts w:hint="eastAsia" w:ascii="宋体" w:hAnsi="宋体" w:eastAsia="宋体" w:cs="宋体"/>
                <w:kern w:val="0"/>
                <w:sz w:val="20"/>
                <w:szCs w:val="20"/>
                <w:lang w:bidi="ar"/>
              </w:rPr>
            </w:pPr>
            <w:r>
              <w:rPr>
                <w:rFonts w:hint="eastAsia" w:ascii="宋体" w:hAnsi="宋体" w:eastAsia="宋体" w:cs="宋体"/>
                <w:kern w:val="0"/>
                <w:sz w:val="20"/>
                <w:szCs w:val="20"/>
                <w:lang w:bidi="ar"/>
              </w:rPr>
              <w:t>乌拉特中旗人民医院宽带≥10000M，数量：2条</w:t>
            </w:r>
            <w:r>
              <w:rPr>
                <w:rStyle w:val="40"/>
                <w:rFonts w:hint="default"/>
                <w:color w:val="auto"/>
                <w:lang w:bidi="ar"/>
              </w:rPr>
              <w:t>；</w:t>
            </w:r>
            <w:r>
              <w:rPr>
                <w:rStyle w:val="40"/>
                <w:color w:val="auto"/>
                <w:lang w:bidi="ar"/>
              </w:rPr>
              <w:t>服务期一年</w:t>
            </w:r>
          </w:p>
        </w:tc>
      </w:tr>
      <w:tr w14:paraId="75AB683A">
        <w:tblPrEx>
          <w:tblCellMar>
            <w:top w:w="85" w:type="dxa"/>
            <w:left w:w="28" w:type="dxa"/>
            <w:bottom w:w="85" w:type="dxa"/>
            <w:right w:w="28" w:type="dxa"/>
          </w:tblCellMar>
        </w:tblPrEx>
        <w:trPr>
          <w:jc w:val="center"/>
        </w:trPr>
        <w:tc>
          <w:tcPr>
            <w:tcW w:w="165" w:type="pct"/>
            <w:vMerge w:val="continue"/>
            <w:tcBorders>
              <w:top w:val="single" w:color="000000" w:sz="4" w:space="0"/>
              <w:left w:val="single" w:color="000000" w:sz="4" w:space="0"/>
              <w:bottom w:val="single" w:color="000000" w:sz="4" w:space="0"/>
              <w:right w:val="single" w:color="000000" w:sz="4" w:space="0"/>
            </w:tcBorders>
            <w:noWrap/>
            <w:vAlign w:val="center"/>
          </w:tcPr>
          <w:p w14:paraId="60FBF391">
            <w:pPr>
              <w:jc w:val="center"/>
              <w:rPr>
                <w:rFonts w:hint="eastAsia" w:ascii="宋体" w:hAnsi="宋体" w:eastAsia="宋体" w:cs="宋体"/>
                <w:sz w:val="20"/>
                <w:szCs w:val="20"/>
              </w:rPr>
            </w:pPr>
          </w:p>
        </w:tc>
        <w:tc>
          <w:tcPr>
            <w:tcW w:w="234" w:type="pct"/>
            <w:vMerge w:val="continue"/>
            <w:tcBorders>
              <w:top w:val="single" w:color="000000" w:sz="4" w:space="0"/>
              <w:left w:val="single" w:color="000000" w:sz="4" w:space="0"/>
              <w:bottom w:val="single" w:color="000000" w:sz="4" w:space="0"/>
              <w:right w:val="single" w:color="000000" w:sz="4" w:space="0"/>
            </w:tcBorders>
            <w:noWrap/>
            <w:vAlign w:val="center"/>
          </w:tcPr>
          <w:p w14:paraId="3CBBF511">
            <w:pPr>
              <w:jc w:val="center"/>
              <w:rPr>
                <w:rFonts w:hint="eastAsia" w:ascii="宋体" w:hAnsi="宋体" w:eastAsia="宋体" w:cs="宋体"/>
                <w:sz w:val="20"/>
                <w:szCs w:val="20"/>
              </w:rPr>
            </w:pPr>
          </w:p>
        </w:tc>
        <w:tc>
          <w:tcPr>
            <w:tcW w:w="4600" w:type="pct"/>
            <w:tcBorders>
              <w:top w:val="single" w:color="000000" w:sz="4" w:space="0"/>
              <w:left w:val="single" w:color="000000" w:sz="4" w:space="0"/>
              <w:bottom w:val="single" w:color="000000" w:sz="4" w:space="0"/>
              <w:right w:val="single" w:color="000000" w:sz="4" w:space="0"/>
            </w:tcBorders>
            <w:vAlign w:val="bottom"/>
          </w:tcPr>
          <w:p w14:paraId="11B55C87">
            <w:pPr>
              <w:widowControl/>
              <w:jc w:val="left"/>
              <w:textAlignment w:val="bottom"/>
              <w:rPr>
                <w:rFonts w:hint="eastAsia" w:ascii="宋体" w:hAnsi="宋体" w:eastAsia="宋体" w:cs="宋体"/>
                <w:kern w:val="0"/>
                <w:sz w:val="20"/>
                <w:szCs w:val="20"/>
                <w:lang w:bidi="ar"/>
              </w:rPr>
            </w:pPr>
            <w:r>
              <w:rPr>
                <w:rFonts w:hint="eastAsia" w:ascii="宋体" w:hAnsi="宋体" w:eastAsia="宋体" w:cs="宋体"/>
                <w:kern w:val="0"/>
                <w:sz w:val="20"/>
                <w:szCs w:val="20"/>
                <w:lang w:bidi="ar"/>
              </w:rPr>
              <w:t>乌拉特中旗中蒙医院宽带≥1000M，数量：2条</w:t>
            </w:r>
            <w:r>
              <w:rPr>
                <w:rStyle w:val="40"/>
                <w:rFonts w:hint="default"/>
                <w:color w:val="auto"/>
                <w:lang w:bidi="ar"/>
              </w:rPr>
              <w:t>；</w:t>
            </w:r>
            <w:r>
              <w:rPr>
                <w:rStyle w:val="40"/>
                <w:color w:val="auto"/>
                <w:lang w:bidi="ar"/>
              </w:rPr>
              <w:t>服务期一年</w:t>
            </w:r>
          </w:p>
        </w:tc>
      </w:tr>
      <w:tr w14:paraId="590516B2">
        <w:tblPrEx>
          <w:tblCellMar>
            <w:top w:w="85" w:type="dxa"/>
            <w:left w:w="28" w:type="dxa"/>
            <w:bottom w:w="85" w:type="dxa"/>
            <w:right w:w="28" w:type="dxa"/>
          </w:tblCellMar>
        </w:tblPrEx>
        <w:trPr>
          <w:jc w:val="center"/>
        </w:trPr>
        <w:tc>
          <w:tcPr>
            <w:tcW w:w="165" w:type="pct"/>
            <w:vMerge w:val="continue"/>
            <w:tcBorders>
              <w:top w:val="single" w:color="000000" w:sz="4" w:space="0"/>
              <w:left w:val="single" w:color="000000" w:sz="4" w:space="0"/>
              <w:bottom w:val="single" w:color="000000" w:sz="4" w:space="0"/>
              <w:right w:val="single" w:color="000000" w:sz="4" w:space="0"/>
            </w:tcBorders>
            <w:noWrap/>
            <w:vAlign w:val="center"/>
          </w:tcPr>
          <w:p w14:paraId="4BCA7A52">
            <w:pPr>
              <w:jc w:val="center"/>
              <w:rPr>
                <w:rFonts w:hint="eastAsia" w:ascii="宋体" w:hAnsi="宋体" w:eastAsia="宋体" w:cs="宋体"/>
                <w:sz w:val="20"/>
                <w:szCs w:val="20"/>
              </w:rPr>
            </w:pPr>
          </w:p>
        </w:tc>
        <w:tc>
          <w:tcPr>
            <w:tcW w:w="234" w:type="pct"/>
            <w:vMerge w:val="continue"/>
            <w:tcBorders>
              <w:top w:val="single" w:color="000000" w:sz="4" w:space="0"/>
              <w:left w:val="single" w:color="000000" w:sz="4" w:space="0"/>
              <w:bottom w:val="single" w:color="000000" w:sz="4" w:space="0"/>
              <w:right w:val="single" w:color="000000" w:sz="4" w:space="0"/>
            </w:tcBorders>
            <w:noWrap/>
            <w:vAlign w:val="center"/>
          </w:tcPr>
          <w:p w14:paraId="31C3825E">
            <w:pPr>
              <w:jc w:val="center"/>
              <w:rPr>
                <w:rFonts w:hint="eastAsia" w:ascii="宋体" w:hAnsi="宋体" w:eastAsia="宋体" w:cs="宋体"/>
                <w:sz w:val="20"/>
                <w:szCs w:val="20"/>
              </w:rPr>
            </w:pPr>
          </w:p>
        </w:tc>
        <w:tc>
          <w:tcPr>
            <w:tcW w:w="4600" w:type="pct"/>
            <w:tcBorders>
              <w:top w:val="single" w:color="000000" w:sz="4" w:space="0"/>
              <w:left w:val="single" w:color="000000" w:sz="4" w:space="0"/>
              <w:bottom w:val="single" w:color="000000" w:sz="4" w:space="0"/>
              <w:right w:val="single" w:color="000000" w:sz="4" w:space="0"/>
            </w:tcBorders>
            <w:vAlign w:val="bottom"/>
          </w:tcPr>
          <w:p w14:paraId="346D1D2D">
            <w:pPr>
              <w:widowControl/>
              <w:jc w:val="left"/>
              <w:textAlignment w:val="bottom"/>
              <w:rPr>
                <w:rFonts w:hint="eastAsia" w:ascii="宋体" w:hAnsi="宋体" w:eastAsia="宋体" w:cs="宋体"/>
                <w:kern w:val="0"/>
                <w:sz w:val="20"/>
                <w:szCs w:val="20"/>
                <w:lang w:bidi="ar"/>
              </w:rPr>
            </w:pPr>
            <w:r>
              <w:rPr>
                <w:rFonts w:hint="eastAsia" w:ascii="宋体" w:hAnsi="宋体" w:eastAsia="宋体" w:cs="宋体"/>
                <w:kern w:val="0"/>
                <w:sz w:val="20"/>
                <w:szCs w:val="20"/>
                <w:lang w:bidi="ar"/>
              </w:rPr>
              <w:t>乌拉特中旗妇幼保健院宽带≥1000M，数量：2条</w:t>
            </w:r>
            <w:r>
              <w:rPr>
                <w:rStyle w:val="40"/>
                <w:rFonts w:hint="default"/>
                <w:color w:val="auto"/>
                <w:lang w:bidi="ar"/>
              </w:rPr>
              <w:t>；</w:t>
            </w:r>
            <w:r>
              <w:rPr>
                <w:rStyle w:val="40"/>
                <w:color w:val="auto"/>
                <w:lang w:bidi="ar"/>
              </w:rPr>
              <w:t>服务期一年</w:t>
            </w:r>
          </w:p>
        </w:tc>
      </w:tr>
      <w:tr w14:paraId="7BE8EF39">
        <w:tblPrEx>
          <w:tblCellMar>
            <w:top w:w="85" w:type="dxa"/>
            <w:left w:w="28" w:type="dxa"/>
            <w:bottom w:w="85" w:type="dxa"/>
            <w:right w:w="28" w:type="dxa"/>
          </w:tblCellMar>
        </w:tblPrEx>
        <w:trPr>
          <w:jc w:val="center"/>
        </w:trPr>
        <w:tc>
          <w:tcPr>
            <w:tcW w:w="165" w:type="pct"/>
            <w:vMerge w:val="continue"/>
            <w:tcBorders>
              <w:top w:val="single" w:color="000000" w:sz="4" w:space="0"/>
              <w:left w:val="single" w:color="000000" w:sz="4" w:space="0"/>
              <w:bottom w:val="single" w:color="000000" w:sz="4" w:space="0"/>
              <w:right w:val="single" w:color="000000" w:sz="4" w:space="0"/>
            </w:tcBorders>
            <w:noWrap/>
            <w:vAlign w:val="center"/>
          </w:tcPr>
          <w:p w14:paraId="33449237">
            <w:pPr>
              <w:jc w:val="center"/>
              <w:rPr>
                <w:rFonts w:hint="eastAsia" w:ascii="宋体" w:hAnsi="宋体" w:eastAsia="宋体" w:cs="宋体"/>
                <w:sz w:val="20"/>
                <w:szCs w:val="20"/>
              </w:rPr>
            </w:pPr>
          </w:p>
        </w:tc>
        <w:tc>
          <w:tcPr>
            <w:tcW w:w="234" w:type="pct"/>
            <w:vMerge w:val="continue"/>
            <w:tcBorders>
              <w:top w:val="single" w:color="000000" w:sz="4" w:space="0"/>
              <w:left w:val="single" w:color="000000" w:sz="4" w:space="0"/>
              <w:bottom w:val="single" w:color="000000" w:sz="4" w:space="0"/>
              <w:right w:val="single" w:color="000000" w:sz="4" w:space="0"/>
            </w:tcBorders>
            <w:noWrap/>
            <w:vAlign w:val="center"/>
          </w:tcPr>
          <w:p w14:paraId="68AA22DE">
            <w:pPr>
              <w:jc w:val="center"/>
              <w:rPr>
                <w:rFonts w:hint="eastAsia" w:ascii="宋体" w:hAnsi="宋体" w:eastAsia="宋体" w:cs="宋体"/>
                <w:sz w:val="20"/>
                <w:szCs w:val="20"/>
              </w:rPr>
            </w:pPr>
          </w:p>
        </w:tc>
        <w:tc>
          <w:tcPr>
            <w:tcW w:w="4600" w:type="pct"/>
            <w:tcBorders>
              <w:top w:val="single" w:color="000000" w:sz="4" w:space="0"/>
              <w:left w:val="single" w:color="000000" w:sz="4" w:space="0"/>
              <w:bottom w:val="single" w:color="000000" w:sz="4" w:space="0"/>
              <w:right w:val="single" w:color="000000" w:sz="4" w:space="0"/>
            </w:tcBorders>
            <w:vAlign w:val="bottom"/>
          </w:tcPr>
          <w:p w14:paraId="62088526">
            <w:pPr>
              <w:widowControl/>
              <w:jc w:val="left"/>
              <w:textAlignment w:val="bottom"/>
              <w:rPr>
                <w:rFonts w:hint="eastAsia" w:ascii="宋体" w:hAnsi="宋体" w:eastAsia="宋体" w:cs="宋体"/>
                <w:kern w:val="0"/>
                <w:sz w:val="20"/>
                <w:szCs w:val="20"/>
                <w:lang w:bidi="ar"/>
              </w:rPr>
            </w:pPr>
            <w:r>
              <w:rPr>
                <w:rFonts w:hint="eastAsia" w:ascii="宋体" w:hAnsi="宋体" w:eastAsia="宋体" w:cs="宋体"/>
                <w:kern w:val="0"/>
                <w:sz w:val="20"/>
                <w:szCs w:val="20"/>
                <w:lang w:bidi="ar"/>
              </w:rPr>
              <w:t>乌拉特中旗乡镇卫生院宽带≥100M，数量：15条</w:t>
            </w:r>
            <w:r>
              <w:rPr>
                <w:rStyle w:val="40"/>
                <w:rFonts w:hint="default"/>
                <w:color w:val="auto"/>
                <w:lang w:bidi="ar"/>
              </w:rPr>
              <w:t>；</w:t>
            </w:r>
            <w:r>
              <w:rPr>
                <w:rStyle w:val="40"/>
                <w:color w:val="auto"/>
                <w:lang w:bidi="ar"/>
              </w:rPr>
              <w:t>服务期一年</w:t>
            </w:r>
          </w:p>
        </w:tc>
      </w:tr>
      <w:tr w14:paraId="21B44BB3">
        <w:tblPrEx>
          <w:tblCellMar>
            <w:top w:w="85" w:type="dxa"/>
            <w:left w:w="28" w:type="dxa"/>
            <w:bottom w:w="85" w:type="dxa"/>
            <w:right w:w="28" w:type="dxa"/>
          </w:tblCellMar>
        </w:tblPrEx>
        <w:trPr>
          <w:jc w:val="center"/>
        </w:trPr>
        <w:tc>
          <w:tcPr>
            <w:tcW w:w="165" w:type="pct"/>
            <w:vMerge w:val="continue"/>
            <w:tcBorders>
              <w:top w:val="single" w:color="000000" w:sz="4" w:space="0"/>
              <w:left w:val="single" w:color="000000" w:sz="4" w:space="0"/>
              <w:bottom w:val="single" w:color="000000" w:sz="4" w:space="0"/>
              <w:right w:val="single" w:color="000000" w:sz="4" w:space="0"/>
            </w:tcBorders>
            <w:noWrap/>
            <w:vAlign w:val="center"/>
          </w:tcPr>
          <w:p w14:paraId="322E578B">
            <w:pPr>
              <w:jc w:val="center"/>
              <w:rPr>
                <w:rFonts w:hint="eastAsia" w:ascii="宋体" w:hAnsi="宋体" w:eastAsia="宋体" w:cs="宋体"/>
                <w:sz w:val="20"/>
                <w:szCs w:val="20"/>
              </w:rPr>
            </w:pPr>
          </w:p>
        </w:tc>
        <w:tc>
          <w:tcPr>
            <w:tcW w:w="234" w:type="pct"/>
            <w:vMerge w:val="continue"/>
            <w:tcBorders>
              <w:top w:val="single" w:color="000000" w:sz="4" w:space="0"/>
              <w:left w:val="single" w:color="000000" w:sz="4" w:space="0"/>
              <w:bottom w:val="single" w:color="000000" w:sz="4" w:space="0"/>
              <w:right w:val="single" w:color="000000" w:sz="4" w:space="0"/>
            </w:tcBorders>
            <w:noWrap/>
            <w:vAlign w:val="center"/>
          </w:tcPr>
          <w:p w14:paraId="36E13076">
            <w:pPr>
              <w:jc w:val="center"/>
              <w:rPr>
                <w:rFonts w:hint="eastAsia" w:ascii="宋体" w:hAnsi="宋体" w:eastAsia="宋体" w:cs="宋体"/>
                <w:sz w:val="20"/>
                <w:szCs w:val="20"/>
              </w:rPr>
            </w:pPr>
          </w:p>
        </w:tc>
        <w:tc>
          <w:tcPr>
            <w:tcW w:w="4600" w:type="pct"/>
            <w:tcBorders>
              <w:top w:val="single" w:color="000000" w:sz="4" w:space="0"/>
              <w:left w:val="single" w:color="000000" w:sz="4" w:space="0"/>
              <w:bottom w:val="single" w:color="000000" w:sz="4" w:space="0"/>
              <w:right w:val="single" w:color="000000" w:sz="4" w:space="0"/>
            </w:tcBorders>
            <w:vAlign w:val="center"/>
          </w:tcPr>
          <w:p w14:paraId="780CE4D9">
            <w:pPr>
              <w:widowControl/>
              <w:jc w:val="left"/>
              <w:textAlignment w:val="center"/>
              <w:rPr>
                <w:rFonts w:hint="eastAsia" w:ascii="宋体" w:hAnsi="宋体" w:eastAsia="宋体" w:cs="宋体"/>
                <w:kern w:val="0"/>
                <w:sz w:val="20"/>
                <w:szCs w:val="20"/>
                <w:lang w:bidi="ar"/>
              </w:rPr>
            </w:pPr>
            <w:r>
              <w:rPr>
                <w:rFonts w:hint="eastAsia" w:ascii="宋体" w:hAnsi="宋体" w:eastAsia="宋体" w:cs="宋体"/>
                <w:kern w:val="0"/>
                <w:sz w:val="20"/>
                <w:szCs w:val="20"/>
                <w:lang w:bidi="ar"/>
              </w:rPr>
              <w:t>乌拉特中旗卫健委≥300M，数量：1条</w:t>
            </w:r>
            <w:r>
              <w:rPr>
                <w:rStyle w:val="40"/>
                <w:rFonts w:hint="default"/>
                <w:color w:val="auto"/>
                <w:lang w:bidi="ar"/>
              </w:rPr>
              <w:t>；</w:t>
            </w:r>
            <w:r>
              <w:rPr>
                <w:rStyle w:val="40"/>
                <w:color w:val="auto"/>
                <w:lang w:bidi="ar"/>
              </w:rPr>
              <w:t>服务期一年</w:t>
            </w:r>
          </w:p>
        </w:tc>
      </w:tr>
      <w:tr w14:paraId="197A2E92">
        <w:tblPrEx>
          <w:tblCellMar>
            <w:top w:w="85" w:type="dxa"/>
            <w:left w:w="28" w:type="dxa"/>
            <w:bottom w:w="85" w:type="dxa"/>
            <w:right w:w="28" w:type="dxa"/>
          </w:tblCellMar>
        </w:tblPrEx>
        <w:trPr>
          <w:jc w:val="center"/>
        </w:trPr>
        <w:tc>
          <w:tcPr>
            <w:tcW w:w="165" w:type="pct"/>
            <w:vMerge w:val="continue"/>
            <w:tcBorders>
              <w:top w:val="single" w:color="000000" w:sz="4" w:space="0"/>
              <w:left w:val="single" w:color="000000" w:sz="4" w:space="0"/>
              <w:bottom w:val="single" w:color="000000" w:sz="4" w:space="0"/>
              <w:right w:val="single" w:color="000000" w:sz="4" w:space="0"/>
            </w:tcBorders>
            <w:noWrap/>
            <w:vAlign w:val="center"/>
          </w:tcPr>
          <w:p w14:paraId="1CC8D70A">
            <w:pPr>
              <w:jc w:val="center"/>
              <w:rPr>
                <w:rFonts w:hint="eastAsia" w:ascii="宋体" w:hAnsi="宋体" w:eastAsia="宋体" w:cs="宋体"/>
                <w:sz w:val="20"/>
                <w:szCs w:val="20"/>
              </w:rPr>
            </w:pPr>
          </w:p>
        </w:tc>
        <w:tc>
          <w:tcPr>
            <w:tcW w:w="234" w:type="pct"/>
            <w:vMerge w:val="continue"/>
            <w:tcBorders>
              <w:top w:val="single" w:color="000000" w:sz="4" w:space="0"/>
              <w:left w:val="single" w:color="000000" w:sz="4" w:space="0"/>
              <w:bottom w:val="single" w:color="000000" w:sz="4" w:space="0"/>
              <w:right w:val="single" w:color="000000" w:sz="4" w:space="0"/>
            </w:tcBorders>
            <w:noWrap/>
            <w:vAlign w:val="center"/>
          </w:tcPr>
          <w:p w14:paraId="5FEE5945">
            <w:pPr>
              <w:jc w:val="center"/>
              <w:rPr>
                <w:rFonts w:hint="eastAsia" w:ascii="宋体" w:hAnsi="宋体" w:eastAsia="宋体" w:cs="宋体"/>
                <w:sz w:val="20"/>
                <w:szCs w:val="20"/>
              </w:rPr>
            </w:pPr>
          </w:p>
        </w:tc>
        <w:tc>
          <w:tcPr>
            <w:tcW w:w="4600" w:type="pct"/>
            <w:tcBorders>
              <w:top w:val="single" w:color="000000" w:sz="4" w:space="0"/>
              <w:left w:val="single" w:color="000000" w:sz="4" w:space="0"/>
              <w:bottom w:val="single" w:color="000000" w:sz="4" w:space="0"/>
              <w:right w:val="single" w:color="000000" w:sz="4" w:space="0"/>
            </w:tcBorders>
            <w:vAlign w:val="center"/>
          </w:tcPr>
          <w:p w14:paraId="55E3A693">
            <w:pPr>
              <w:widowControl/>
              <w:jc w:val="left"/>
              <w:textAlignment w:val="center"/>
              <w:rPr>
                <w:rFonts w:hint="eastAsia" w:ascii="宋体" w:hAnsi="宋体" w:eastAsia="宋体" w:cs="宋体"/>
                <w:kern w:val="0"/>
                <w:sz w:val="20"/>
                <w:szCs w:val="20"/>
                <w:lang w:bidi="ar"/>
              </w:rPr>
            </w:pPr>
            <w:r>
              <w:rPr>
                <w:rFonts w:hint="eastAsia" w:ascii="宋体" w:hAnsi="宋体" w:eastAsia="宋体" w:cs="宋体"/>
                <w:kern w:val="0"/>
                <w:sz w:val="20"/>
                <w:szCs w:val="20"/>
                <w:lang w:bidi="ar"/>
              </w:rPr>
              <w:t>乌拉特中旗疾控中心≥200M，数量：1条</w:t>
            </w:r>
            <w:r>
              <w:rPr>
                <w:rStyle w:val="40"/>
                <w:rFonts w:hint="default"/>
                <w:color w:val="auto"/>
                <w:lang w:bidi="ar"/>
              </w:rPr>
              <w:t>；</w:t>
            </w:r>
            <w:r>
              <w:rPr>
                <w:rStyle w:val="40"/>
                <w:color w:val="auto"/>
                <w:lang w:bidi="ar"/>
              </w:rPr>
              <w:t>服务期一年</w:t>
            </w:r>
          </w:p>
        </w:tc>
      </w:tr>
      <w:tr w14:paraId="312F3FFF">
        <w:tblPrEx>
          <w:tblCellMar>
            <w:top w:w="85" w:type="dxa"/>
            <w:left w:w="28" w:type="dxa"/>
            <w:bottom w:w="85" w:type="dxa"/>
            <w:right w:w="28" w:type="dxa"/>
          </w:tblCellMar>
        </w:tblPrEx>
        <w:trPr>
          <w:jc w:val="center"/>
        </w:trPr>
        <w:tc>
          <w:tcPr>
            <w:tcW w:w="165" w:type="pct"/>
            <w:vMerge w:val="continue"/>
            <w:tcBorders>
              <w:top w:val="single" w:color="000000" w:sz="4" w:space="0"/>
              <w:left w:val="single" w:color="000000" w:sz="4" w:space="0"/>
              <w:bottom w:val="single" w:color="000000" w:sz="4" w:space="0"/>
              <w:right w:val="single" w:color="000000" w:sz="4" w:space="0"/>
            </w:tcBorders>
            <w:noWrap/>
            <w:vAlign w:val="center"/>
          </w:tcPr>
          <w:p w14:paraId="7F59505B">
            <w:pPr>
              <w:jc w:val="center"/>
              <w:rPr>
                <w:rFonts w:hint="eastAsia" w:ascii="宋体" w:hAnsi="宋体" w:eastAsia="宋体" w:cs="宋体"/>
                <w:sz w:val="20"/>
                <w:szCs w:val="20"/>
              </w:rPr>
            </w:pPr>
          </w:p>
        </w:tc>
        <w:tc>
          <w:tcPr>
            <w:tcW w:w="234" w:type="pct"/>
            <w:vMerge w:val="continue"/>
            <w:tcBorders>
              <w:top w:val="single" w:color="000000" w:sz="4" w:space="0"/>
              <w:left w:val="single" w:color="000000" w:sz="4" w:space="0"/>
              <w:bottom w:val="single" w:color="000000" w:sz="4" w:space="0"/>
              <w:right w:val="single" w:color="000000" w:sz="4" w:space="0"/>
            </w:tcBorders>
            <w:noWrap/>
            <w:vAlign w:val="center"/>
          </w:tcPr>
          <w:p w14:paraId="206CB18A">
            <w:pPr>
              <w:jc w:val="center"/>
              <w:rPr>
                <w:rFonts w:hint="eastAsia" w:ascii="宋体" w:hAnsi="宋体" w:eastAsia="宋体" w:cs="宋体"/>
                <w:sz w:val="20"/>
                <w:szCs w:val="20"/>
              </w:rPr>
            </w:pPr>
          </w:p>
        </w:tc>
        <w:tc>
          <w:tcPr>
            <w:tcW w:w="4600" w:type="pct"/>
            <w:tcBorders>
              <w:top w:val="single" w:color="000000" w:sz="4" w:space="0"/>
              <w:left w:val="single" w:color="000000" w:sz="4" w:space="0"/>
              <w:bottom w:val="single" w:color="000000" w:sz="4" w:space="0"/>
              <w:right w:val="single" w:color="000000" w:sz="4" w:space="0"/>
            </w:tcBorders>
            <w:vAlign w:val="bottom"/>
          </w:tcPr>
          <w:p w14:paraId="04E3C5FD">
            <w:pPr>
              <w:widowControl/>
              <w:jc w:val="left"/>
              <w:textAlignment w:val="bottom"/>
              <w:rPr>
                <w:rFonts w:hint="eastAsia" w:ascii="宋体" w:hAnsi="宋体" w:eastAsia="宋体" w:cs="宋体"/>
                <w:kern w:val="0"/>
                <w:sz w:val="20"/>
                <w:szCs w:val="20"/>
                <w:lang w:bidi="ar"/>
              </w:rPr>
            </w:pPr>
            <w:r>
              <w:rPr>
                <w:rFonts w:hint="eastAsia" w:ascii="宋体" w:hAnsi="宋体" w:eastAsia="宋体" w:cs="宋体"/>
                <w:kern w:val="0"/>
                <w:sz w:val="20"/>
                <w:szCs w:val="20"/>
                <w:lang w:bidi="ar"/>
              </w:rPr>
              <w:t>医保网专线带宽≥300M，数量：1条</w:t>
            </w:r>
            <w:r>
              <w:rPr>
                <w:rStyle w:val="40"/>
                <w:rFonts w:hint="default"/>
                <w:color w:val="auto"/>
                <w:lang w:bidi="ar"/>
              </w:rPr>
              <w:t>；</w:t>
            </w:r>
            <w:r>
              <w:rPr>
                <w:rStyle w:val="40"/>
                <w:color w:val="auto"/>
                <w:lang w:bidi="ar"/>
              </w:rPr>
              <w:t>服务期一年</w:t>
            </w:r>
          </w:p>
        </w:tc>
      </w:tr>
      <w:tr w14:paraId="1F08B63D">
        <w:tblPrEx>
          <w:tblCellMar>
            <w:top w:w="85" w:type="dxa"/>
            <w:left w:w="28" w:type="dxa"/>
            <w:bottom w:w="85" w:type="dxa"/>
            <w:right w:w="28" w:type="dxa"/>
          </w:tblCellMar>
        </w:tblPrEx>
        <w:trPr>
          <w:jc w:val="center"/>
        </w:trPr>
        <w:tc>
          <w:tcPr>
            <w:tcW w:w="165" w:type="pct"/>
            <w:vMerge w:val="continue"/>
            <w:tcBorders>
              <w:top w:val="single" w:color="000000" w:sz="4" w:space="0"/>
              <w:left w:val="single" w:color="000000" w:sz="4" w:space="0"/>
              <w:bottom w:val="single" w:color="000000" w:sz="4" w:space="0"/>
              <w:right w:val="single" w:color="000000" w:sz="4" w:space="0"/>
            </w:tcBorders>
            <w:noWrap/>
            <w:vAlign w:val="center"/>
          </w:tcPr>
          <w:p w14:paraId="7CB6DF3E">
            <w:pPr>
              <w:jc w:val="center"/>
              <w:rPr>
                <w:rFonts w:hint="eastAsia" w:ascii="宋体" w:hAnsi="宋体" w:eastAsia="宋体" w:cs="宋体"/>
                <w:sz w:val="20"/>
                <w:szCs w:val="20"/>
              </w:rPr>
            </w:pPr>
          </w:p>
        </w:tc>
        <w:tc>
          <w:tcPr>
            <w:tcW w:w="234" w:type="pct"/>
            <w:vMerge w:val="continue"/>
            <w:tcBorders>
              <w:top w:val="single" w:color="000000" w:sz="4" w:space="0"/>
              <w:left w:val="single" w:color="000000" w:sz="4" w:space="0"/>
              <w:bottom w:val="single" w:color="000000" w:sz="4" w:space="0"/>
              <w:right w:val="single" w:color="000000" w:sz="4" w:space="0"/>
            </w:tcBorders>
            <w:noWrap/>
            <w:vAlign w:val="center"/>
          </w:tcPr>
          <w:p w14:paraId="0E9F43EA">
            <w:pPr>
              <w:jc w:val="center"/>
              <w:rPr>
                <w:rFonts w:hint="eastAsia" w:ascii="宋体" w:hAnsi="宋体" w:eastAsia="宋体" w:cs="宋体"/>
                <w:sz w:val="20"/>
                <w:szCs w:val="20"/>
              </w:rPr>
            </w:pPr>
          </w:p>
        </w:tc>
        <w:tc>
          <w:tcPr>
            <w:tcW w:w="4600" w:type="pct"/>
            <w:tcBorders>
              <w:top w:val="single" w:color="000000" w:sz="4" w:space="0"/>
              <w:left w:val="single" w:color="000000" w:sz="4" w:space="0"/>
              <w:bottom w:val="single" w:color="000000" w:sz="4" w:space="0"/>
              <w:right w:val="single" w:color="000000" w:sz="4" w:space="0"/>
            </w:tcBorders>
            <w:vAlign w:val="bottom"/>
          </w:tcPr>
          <w:p w14:paraId="0EFD1B30">
            <w:pPr>
              <w:widowControl/>
              <w:jc w:val="left"/>
              <w:textAlignment w:val="bottom"/>
              <w:rPr>
                <w:rFonts w:hint="eastAsia" w:ascii="宋体" w:hAnsi="宋体" w:eastAsia="宋体" w:cs="宋体"/>
                <w:kern w:val="0"/>
                <w:sz w:val="20"/>
                <w:szCs w:val="20"/>
                <w:lang w:bidi="ar"/>
              </w:rPr>
            </w:pPr>
            <w:r>
              <w:rPr>
                <w:rFonts w:hint="eastAsia" w:ascii="宋体" w:hAnsi="宋体" w:eastAsia="宋体" w:cs="宋体"/>
                <w:kern w:val="0"/>
                <w:sz w:val="20"/>
                <w:szCs w:val="20"/>
                <w:lang w:bidi="ar"/>
              </w:rPr>
              <w:t>卫生网专线带宽≥300M，数量：1条</w:t>
            </w:r>
            <w:r>
              <w:rPr>
                <w:rStyle w:val="40"/>
                <w:rFonts w:hint="default"/>
                <w:color w:val="auto"/>
                <w:lang w:bidi="ar"/>
              </w:rPr>
              <w:t>；</w:t>
            </w:r>
            <w:r>
              <w:rPr>
                <w:rStyle w:val="40"/>
                <w:color w:val="auto"/>
                <w:lang w:bidi="ar"/>
              </w:rPr>
              <w:t>服务期一年</w:t>
            </w:r>
          </w:p>
        </w:tc>
      </w:tr>
      <w:bookmarkEnd w:id="3"/>
    </w:tbl>
    <w:p w14:paraId="2C4405AC">
      <w:pPr>
        <w:rPr>
          <w:rFonts w:hint="eastAsia"/>
        </w:rPr>
      </w:pPr>
    </w:p>
    <w:p w14:paraId="489A6436">
      <w:pPr>
        <w:rPr>
          <w:rFonts w:hint="eastAsia"/>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E3C43">
    <w:pPr>
      <w:pStyle w:val="13"/>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D00405">
                          <w:pPr>
                            <w:pStyle w:val="1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D00405">
                    <w:pPr>
                      <w:pStyle w:val="1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E72"/>
    <w:rsid w:val="00025AAC"/>
    <w:rsid w:val="00026A42"/>
    <w:rsid w:val="00055CC0"/>
    <w:rsid w:val="000623DC"/>
    <w:rsid w:val="000E6CDC"/>
    <w:rsid w:val="0010060E"/>
    <w:rsid w:val="0014344F"/>
    <w:rsid w:val="00185267"/>
    <w:rsid w:val="001A752B"/>
    <w:rsid w:val="00242CB3"/>
    <w:rsid w:val="003E1E72"/>
    <w:rsid w:val="00485BD0"/>
    <w:rsid w:val="004A5E41"/>
    <w:rsid w:val="005D45EA"/>
    <w:rsid w:val="005D72AB"/>
    <w:rsid w:val="006B4794"/>
    <w:rsid w:val="00774EAD"/>
    <w:rsid w:val="009E7D5B"/>
    <w:rsid w:val="00AF6A95"/>
    <w:rsid w:val="00B16907"/>
    <w:rsid w:val="00BF64AC"/>
    <w:rsid w:val="00C20A34"/>
    <w:rsid w:val="00C768F7"/>
    <w:rsid w:val="00C8722C"/>
    <w:rsid w:val="00DB65D8"/>
    <w:rsid w:val="00E12993"/>
    <w:rsid w:val="00E32405"/>
    <w:rsid w:val="00EA6B74"/>
    <w:rsid w:val="00F231A2"/>
    <w:rsid w:val="00F6107B"/>
    <w:rsid w:val="05AC6E14"/>
    <w:rsid w:val="06CC603E"/>
    <w:rsid w:val="14673D04"/>
    <w:rsid w:val="1D6D2D2F"/>
    <w:rsid w:val="1DAD0215"/>
    <w:rsid w:val="1F377719"/>
    <w:rsid w:val="20C827C0"/>
    <w:rsid w:val="2A9C5BE3"/>
    <w:rsid w:val="304E1297"/>
    <w:rsid w:val="33973118"/>
    <w:rsid w:val="34B47EF9"/>
    <w:rsid w:val="374B383B"/>
    <w:rsid w:val="3BD339B9"/>
    <w:rsid w:val="3E553A85"/>
    <w:rsid w:val="45BE4299"/>
    <w:rsid w:val="4B0F19C7"/>
    <w:rsid w:val="4E715CB5"/>
    <w:rsid w:val="543B24BE"/>
    <w:rsid w:val="581655FF"/>
    <w:rsid w:val="5E0337BC"/>
    <w:rsid w:val="63512B7A"/>
    <w:rsid w:val="6EA55CE9"/>
    <w:rsid w:val="71C20FDE"/>
    <w:rsid w:val="751E0BB4"/>
    <w:rsid w:val="7AFC4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5"/>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6">
    <w:name w:val="heading 3"/>
    <w:basedOn w:val="3"/>
    <w:next w:val="1"/>
    <w:link w:val="21"/>
    <w:semiHidden/>
    <w:unhideWhenUsed/>
    <w:qFormat/>
    <w:uiPriority w:val="9"/>
    <w:pPr>
      <w:spacing w:before="160"/>
      <w:outlineLvl w:val="2"/>
    </w:pPr>
    <w:rPr>
      <w:sz w:val="32"/>
      <w:szCs w:val="32"/>
    </w:rPr>
  </w:style>
  <w:style w:type="paragraph" w:styleId="7">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8">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9">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10">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spacing w:after="60" w:line="440" w:lineRule="exact"/>
      <w:ind w:right="-8" w:rightChars="-4" w:firstLine="490" w:firstLineChars="204"/>
    </w:pPr>
    <w:rPr>
      <w:bCs/>
      <w:color w:val="000000"/>
      <w:sz w:val="24"/>
    </w:rPr>
  </w:style>
  <w:style w:type="paragraph" w:customStyle="1" w:styleId="5">
    <w:name w:val="标准正文"/>
    <w:basedOn w:val="1"/>
    <w:qFormat/>
    <w:uiPriority w:val="0"/>
    <w:pPr>
      <w:spacing w:line="360" w:lineRule="auto"/>
      <w:ind w:firstLine="480" w:firstLineChars="200"/>
    </w:pPr>
    <w:rPr>
      <w:rFonts w:ascii="宋体" w:hAnsi="宋体" w:cs="Times New Roman"/>
      <w:szCs w:val="20"/>
    </w:rPr>
  </w:style>
  <w:style w:type="paragraph" w:styleId="13">
    <w:name w:val="footer"/>
    <w:basedOn w:val="1"/>
    <w:link w:val="38"/>
    <w:unhideWhenUsed/>
    <w:qFormat/>
    <w:uiPriority w:val="99"/>
    <w:pPr>
      <w:tabs>
        <w:tab w:val="center" w:pos="4153"/>
        <w:tab w:val="right" w:pos="8306"/>
      </w:tabs>
      <w:snapToGrid w:val="0"/>
      <w:jc w:val="left"/>
    </w:pPr>
    <w:rPr>
      <w:sz w:val="18"/>
      <w:szCs w:val="18"/>
    </w:rPr>
  </w:style>
  <w:style w:type="paragraph" w:styleId="14">
    <w:name w:val="header"/>
    <w:basedOn w:val="1"/>
    <w:link w:val="37"/>
    <w:unhideWhenUsed/>
    <w:qFormat/>
    <w:uiPriority w:val="99"/>
    <w:pPr>
      <w:tabs>
        <w:tab w:val="center" w:pos="4153"/>
        <w:tab w:val="right" w:pos="8306"/>
      </w:tabs>
      <w:snapToGrid w:val="0"/>
      <w:jc w:val="center"/>
    </w:pPr>
    <w:rPr>
      <w:sz w:val="18"/>
      <w:szCs w:val="18"/>
    </w:rPr>
  </w:style>
  <w:style w:type="paragraph" w:styleId="15">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9">
    <w:name w:val="标题 1 字符"/>
    <w:basedOn w:val="18"/>
    <w:link w:val="3"/>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8"/>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8"/>
    <w:link w:val="6"/>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8"/>
    <w:link w:val="7"/>
    <w:semiHidden/>
    <w:qFormat/>
    <w:uiPriority w:val="9"/>
    <w:rPr>
      <w:rFonts w:cstheme="majorBidi"/>
      <w:color w:val="104862" w:themeColor="accent1" w:themeShade="BF"/>
      <w:sz w:val="28"/>
      <w:szCs w:val="28"/>
    </w:rPr>
  </w:style>
  <w:style w:type="character" w:customStyle="1" w:styleId="23">
    <w:name w:val="标题 5 字符"/>
    <w:basedOn w:val="18"/>
    <w:link w:val="8"/>
    <w:semiHidden/>
    <w:qFormat/>
    <w:uiPriority w:val="9"/>
    <w:rPr>
      <w:rFonts w:cstheme="majorBidi"/>
      <w:color w:val="104862" w:themeColor="accent1" w:themeShade="BF"/>
      <w:sz w:val="24"/>
      <w:szCs w:val="24"/>
    </w:rPr>
  </w:style>
  <w:style w:type="character" w:customStyle="1" w:styleId="24">
    <w:name w:val="标题 6 字符"/>
    <w:basedOn w:val="18"/>
    <w:link w:val="9"/>
    <w:semiHidden/>
    <w:qFormat/>
    <w:uiPriority w:val="9"/>
    <w:rPr>
      <w:rFonts w:cstheme="majorBidi"/>
      <w:b/>
      <w:bCs/>
      <w:color w:val="104862" w:themeColor="accent1" w:themeShade="BF"/>
    </w:rPr>
  </w:style>
  <w:style w:type="character" w:customStyle="1" w:styleId="25">
    <w:name w:val="标题 7 字符"/>
    <w:basedOn w:val="18"/>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8"/>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8"/>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8"/>
    <w:link w:val="16"/>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8"/>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8"/>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明显强调1"/>
    <w:basedOn w:val="18"/>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8"/>
    <w:link w:val="34"/>
    <w:qFormat/>
    <w:uiPriority w:val="30"/>
    <w:rPr>
      <w:i/>
      <w:iCs/>
      <w:color w:val="104862" w:themeColor="accent1" w:themeShade="BF"/>
    </w:rPr>
  </w:style>
  <w:style w:type="character" w:customStyle="1" w:styleId="36">
    <w:name w:val="明显参考1"/>
    <w:basedOn w:val="18"/>
    <w:qFormat/>
    <w:uiPriority w:val="32"/>
    <w:rPr>
      <w:b/>
      <w:bCs/>
      <w:smallCaps/>
      <w:color w:val="104862" w:themeColor="accent1" w:themeShade="BF"/>
      <w:spacing w:val="5"/>
    </w:rPr>
  </w:style>
  <w:style w:type="character" w:customStyle="1" w:styleId="37">
    <w:name w:val="页眉 字符"/>
    <w:basedOn w:val="18"/>
    <w:link w:val="14"/>
    <w:qFormat/>
    <w:uiPriority w:val="99"/>
    <w:rPr>
      <w:sz w:val="18"/>
      <w:szCs w:val="18"/>
    </w:rPr>
  </w:style>
  <w:style w:type="character" w:customStyle="1" w:styleId="38">
    <w:name w:val="页脚 字符"/>
    <w:basedOn w:val="18"/>
    <w:link w:val="13"/>
    <w:qFormat/>
    <w:uiPriority w:val="99"/>
    <w:rPr>
      <w:sz w:val="18"/>
      <w:szCs w:val="18"/>
    </w:rPr>
  </w:style>
  <w:style w:type="character" w:customStyle="1" w:styleId="39">
    <w:name w:val="font21"/>
    <w:basedOn w:val="18"/>
    <w:qFormat/>
    <w:uiPriority w:val="0"/>
    <w:rPr>
      <w:rFonts w:hint="eastAsia" w:ascii="宋体" w:hAnsi="宋体" w:eastAsia="宋体" w:cs="宋体"/>
      <w:color w:val="000000"/>
      <w:sz w:val="21"/>
      <w:szCs w:val="21"/>
      <w:u w:val="none"/>
    </w:rPr>
  </w:style>
  <w:style w:type="character" w:customStyle="1" w:styleId="40">
    <w:name w:val="font01"/>
    <w:basedOn w:val="1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22229</Words>
  <Characters>22374</Characters>
  <Lines>179</Lines>
  <Paragraphs>50</Paragraphs>
  <TotalTime>6</TotalTime>
  <ScaleCrop>false</ScaleCrop>
  <LinksUpToDate>false</LinksUpToDate>
  <CharactersWithSpaces>22404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2025-08-06T08:34:00Z</dcterms:created>
  <dc:creator>admin admin</dc:creator>
  <cp:lastModifiedBy>图图镇~晨煜</cp:lastModifiedBy>
  <dcterms:modified xsi:type="dcterms:W3CDTF">2025-08-21T11:04:55Z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21C4396771CE47518C0B621E6DD2F276_13</vt:lpwstr>
  </property>
  <property fmtid="{D5CDD505-2E9C-101B-9397-08002B2CF9AE}" pid="4" name="KSOTemplateDocerSaveRecord">
    <vt:lpwstr>eyJoZGlkIjoiOTZkNjM4ODFkYjJkZGFkMzk1MmQzMGI1MGEyMDkyN2QiLCJ1c2VySWQiOiIxNDQxODkwNjM2In0=</vt:lpwstr>
  </property>
</Properties>
</file>