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乌拉特后旗巴音宝力格镇东升村辖区内亮化工程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乌拉特后旗巴音宝力格镇人民政府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内蒙古晟鸿工程项目管理有限责任公司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内蒙古晟鸿工程项目管理有限责任公司</w:t>
      </w:r>
      <w:r>
        <w:rPr>
          <w:rFonts w:ascii="仿宋_GB2312" w:hAnsi="仿宋_GB2312" w:cs="仿宋_GB2312" w:eastAsia="仿宋_GB2312"/>
        </w:rPr>
        <w:t xml:space="preserve"> 受 </w:t>
      </w:r>
      <w:r>
        <w:rPr>
          <w:rFonts w:ascii="仿宋_GB2312" w:hAnsi="仿宋_GB2312" w:cs="仿宋_GB2312" w:eastAsia="仿宋_GB2312"/>
        </w:rPr>
        <w:t>乌拉特后旗巴音宝力格镇人民政府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乌拉特后旗巴音宝力格镇东升村辖区内亮化工程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乌拉特后旗巴音宝力格镇东升村辖区内亮化工程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乌后政采计划[2025]00060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799,693.00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乌拉特后旗巴音宝力格镇东升村辖区内亮化工程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799,693.00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人需具有建设行政主管部门颁发的建筑工程施工总承包乙级及其以上资质，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及其以上资质并具有建设行政主管部门核发的有效期内的安全生产许可证。（2）承担本项目的项目经理应具备建筑工程专业二级（含）及以上注册建造师执业资格，具备有效的安全生产考核合格证书，且不得担任其他在建项目的项目经理。</w:t>
      </w:r>
    </w:p>
    <w:p>
      <w:pPr>
        <w:pStyle w:val="null5"/>
        <w:jc w:val="left"/>
      </w:pPr>
      <w:r>
        <w:rPr>
          <w:rFonts w:ascii="仿宋_GB2312" w:hAnsi="仿宋_GB2312" w:cs="仿宋_GB2312" w:eastAsia="仿宋_GB2312"/>
        </w:rPr>
        <w:t>2、面向中小企业情况审查：参与的供应商（联合体）工程的施工单位全部为符合政策要求的中小企业</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内蒙古晟鸿工程项目管理有限责任公司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内蒙古自治区巴彦淖尔市临河区内蒙古自治区巴彦淖尔市临河区东辰名苑14号楼一单元1501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边云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15148832988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乌拉特后旗巴音宝力格镇人民政府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乌拉特后旗巴音宝力格镇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陶逸芳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15134996943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代理服务费收费标准：按照国家及地方政策收取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采购包1保证金金额：15,000.00元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乌拉特后旗巴音宝力格镇人民政府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内蒙古晟鸿工程项目管理有限责任公司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项目概况：亮化工程路灯及配套设施。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1、具体合同中约定，达到付款条件起20日，支付合同总金额的100.00%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标的名称：乌拉特后旗巴音宝力格镇东升村辖区内亮化工程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需具有建设行政主管部门颁发的建筑工程施工总承包乙级及其以上资质，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及其以上资质并具有建设行政主管部门核发的有效期内的安全生产许可证。（2）承担本项目的项目经理应具备建筑工程专业二级（含）及以上注册建造师执业资格，具备有效的安全生产考核合格证书，且不得担任其他在建项目的项目经理。</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参与的供应商（联合体）工程的施工单位全部为符合政策要求的中小企业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供应商针对本项目提供的施工方案和技术措施包括但不限于：①施工管理机构；②资源配备计划；③机具设备投入；④各分部分项工程技术措施；⑤应急施工措施。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供应商针对本项目提供的施工进度计划与措施包括但不限于：①工期目标;②工期进度安排；③工期组织保证措施；④工期技术保证措施；⑤施工逻辑关系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施工质量目标②施工质量保证体系③质量通病治理措施④物料进场质量保证措施等，且专门针对本项目符合本项目实际需求。1、方案措施具体详细且符合项目实际情况每项得2.5分。2、方案措施不详细、 内容简单、存在缺陷每项得1.5分。3、未提供方案不得分。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针对本项目提供的安全管理体系与措施包括但不限于：①安全目标;②安全管理体系；③安全教育培训；④安全管理措施；⑤安全事故应急预案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供应商针对本项目提供的售后服务方案方案包含但不限于： ①保修范围；②保修期限、责任；③质量巡检计划（巡检时间、巡检流程）；④售后问题响应时间；⑤出现质量问题处理措施等内容。1、内容完整、与项目需求吻合、思路清晰、层次细化，有具体详细的阐述且符合项目要求的，每小项得2分。2、内容完整、有相关内容的阐述且符合项目要求，每小项得1分。3、内容有缺陷，方案简单，每小项得0.5分。4、未提供不得</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环境和文明管理体系与措施</w:t>
            </w:r>
          </w:p>
        </w:tc>
        <w:tc>
          <w:tcPr>
            <w:tcW w:type="dxa" w:w="3115"/>
          </w:tcPr>
          <w:p>
            <w:pPr>
              <w:pStyle w:val="null5"/>
              <w:jc w:val="left"/>
            </w:pPr>
            <w:r>
              <w:rPr>
                <w:rFonts w:ascii="仿宋_GB2312" w:hAnsi="仿宋_GB2312" w:cs="仿宋_GB2312" w:eastAsia="仿宋_GB2312"/>
              </w:rPr>
              <w:t>供应商针对本项目提供的环境和文明管理体系与措施包括但不限于：①环境管理体系；②环境管理制度；③环境控制措施；④文明施工制度；⑤施工现场文明施工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除项目经理及技术负责人外,拟派项目管理班子人员结构合理、专业配备齐全(需提供相应的资格证书)最多得6分,每缺少一员(施工员、资料员、安全员、材料员、质量员、预算员)扣1分，扣完为止。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近三年【2022年-至今】提供建筑工程已完工的项目业绩，有一项加3分，最多得9分。(注:以中标通知书和施工合同为依据)</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