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乌拉特后旗巴音宝力格镇团结村辖区内亮化工程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乌拉特后旗巴音宝力格镇人民政府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内蒙古晟鸿工程项目管理有限责任公司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BSZCHQS-C-G-250006</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内蒙古晟鸿工程项目管理有限责任公司</w:t>
      </w:r>
      <w:r>
        <w:rPr>
          <w:rFonts w:ascii="仿宋_GB2312" w:hAnsi="仿宋_GB2312" w:cs="仿宋_GB2312" w:eastAsia="仿宋_GB2312"/>
        </w:rPr>
        <w:t xml:space="preserve"> 受 </w:t>
      </w:r>
      <w:r>
        <w:rPr>
          <w:rFonts w:ascii="仿宋_GB2312" w:hAnsi="仿宋_GB2312" w:cs="仿宋_GB2312" w:eastAsia="仿宋_GB2312"/>
        </w:rPr>
        <w:t>乌拉特后旗巴音宝力格镇人民政府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乌拉特后旗巴音宝力格镇团结村辖区内亮化工程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乌拉特后旗巴音宝力格镇团结村辖区内亮化工程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BSZCHQS-C-G-250006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乌后政采计划[2025]00061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949,903.00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乌拉特后旗巴音宝力格镇团结村辖区内亮化工程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949,903.00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1）投标人需具有建设行政主管部门颁发的建筑工程施工总承包乙级及其以上资质，且证书在有效期内（以上资质为住建部最新资质要求：建市[2020]94号文件《住房和城乡建设部关于印发建设工程企业资质管理制度改革方案的通知》）；根据建办市〔2021〕30号文件《住房和城乡建设部办公厅关于做好建筑业“证照分离”改革衔接有关工作的通知》的要求，如投标人还未申办以上资质，则投标人需具有建设行政主管部门颁发的建筑工程施工总承包叁级及其以上资质并具有建设行政主管部门核发的有效期内的安全生产许可证。（2）承担本项目的项目经理应具备建筑工程专业二级（含）及以上注册建造师执业资格，具备有效的安全生产考核合格证书，且不得担任其他在建项目的项目经理。</w:t>
      </w:r>
    </w:p>
    <w:p>
      <w:pPr>
        <w:pStyle w:val="null5"/>
        <w:jc w:val="left"/>
      </w:pPr>
      <w:r>
        <w:rPr>
          <w:rFonts w:ascii="仿宋_GB2312" w:hAnsi="仿宋_GB2312" w:cs="仿宋_GB2312" w:eastAsia="仿宋_GB2312"/>
        </w:rPr>
        <w:t>2、面向中小企业情况审查：参与的供应商（联合体）工程的施工单位全部为符合政策要求的中小企业</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内蒙古晟鸿工程项目管理有限责任公司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内蒙古自治区巴彦淖尔市临河区内蒙古自治区巴彦淖尔市临河区东辰名苑14号楼一单元1501</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边云</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15148832988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乌拉特后旗巴音宝力格镇人民政府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乌拉特后旗巴音宝力格镇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015500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陶逸芳</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15134996943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代理服务费收费标准：按照国家及地方政策收取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采购包1保证金金额：18,000.00元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乌拉特后旗巴音宝力格镇人民政府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内蒙古晟鸿工程项目管理有限责任公司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项目概况：亮化工程路灯及配套设施。</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合同中约定</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合同中约定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1、具体合同中约定，达到付款条件起20日，支付合同总金额的100.00%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标的名称：乌拉特后旗巴音宝力格镇团结村辖区内亮化工程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1）投标人需具有建设行政主管部门颁发的建筑工程施工总承包乙级及其以上资质，且证书在有效期内（以上资质为住建部最新资质要求：建市[2020]94号文件《住房和城乡建设部关于印发建设工程企业资质管理制度改革方案的通知》）；根据建办市〔2021〕30号文件《住房和城乡建设部办公厅关于做好建筑业“证照分离”改革衔接有关工作的通知》的要求，如投标人还未申办以上资质，则投标人需具有建设行政主管部门颁发的建筑工程施工总承包叁级及其以上资质并具有建设行政主管部门核发的有效期内的安全生产许可证。（2）承担本项目的项目经理应具备建筑工程专业二级（含）及以上注册建造师执业资格，具备有效的安全生产考核合格证书，且不得担任其他在建项目的项目经理。</w:t>
            </w:r>
          </w:p>
        </w:tc>
      </w:tr>
      <w:tr>
        <w:tc>
          <w:tcPr>
            <w:tcW w:type="dxa" w:w="3322"/>
          </w:tcPr>
          <w:p>
            <w:pPr>
              <w:pStyle w:val="null5"/>
              <w:jc w:val="left"/>
            </w:pPr>
            <w:r>
              <w:rPr>
                <w:rFonts w:ascii="仿宋_GB2312" w:hAnsi="仿宋_GB2312" w:cs="仿宋_GB2312" w:eastAsia="仿宋_GB2312"/>
              </w:rPr>
              <w:t>面向中小企业情况审查</w:t>
            </w:r>
          </w:p>
        </w:tc>
        <w:tc>
          <w:tcPr>
            <w:tcW w:type="dxa" w:w="4984"/>
          </w:tcPr>
          <w:p>
            <w:pPr>
              <w:pStyle w:val="null5"/>
              <w:jc w:val="left"/>
            </w:pPr>
            <w:r>
              <w:rPr>
                <w:rFonts w:ascii="仿宋_GB2312" w:hAnsi="仿宋_GB2312" w:cs="仿宋_GB2312" w:eastAsia="仿宋_GB2312"/>
              </w:rPr>
              <w:t>参与的供应商（联合体）工程的施工单位全部为符合政策要求的中小企业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施工方案和技术措施</w:t>
            </w:r>
          </w:p>
        </w:tc>
        <w:tc>
          <w:tcPr>
            <w:tcW w:type="dxa" w:w="3115"/>
          </w:tcPr>
          <w:p>
            <w:pPr>
              <w:pStyle w:val="null5"/>
              <w:jc w:val="left"/>
            </w:pPr>
            <w:r>
              <w:rPr>
                <w:rFonts w:ascii="仿宋_GB2312" w:hAnsi="仿宋_GB2312" w:cs="仿宋_GB2312" w:eastAsia="仿宋_GB2312"/>
              </w:rPr>
              <w:t>供应商针对本项目提供的施工方案和技术措施包括但不限于：①施工管理机构；②资源配备计划；③机具设备投入；④各分部分项工程技术措施；⑤应急施工措施。1、内容完整、与项目需求吻合、思路清晰、层次细化，有具体详细的阐述且符合项目要求的，每小项得3分。2、内容完整、有相关内容的阐述且符合项目要求，每小项得2分。3、内容有缺陷，方案简单,每小项得1分。4、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施工进度计划与措施</w:t>
            </w:r>
          </w:p>
        </w:tc>
        <w:tc>
          <w:tcPr>
            <w:tcW w:type="dxa" w:w="3115"/>
          </w:tcPr>
          <w:p>
            <w:pPr>
              <w:pStyle w:val="null5"/>
              <w:jc w:val="left"/>
            </w:pPr>
            <w:r>
              <w:rPr>
                <w:rFonts w:ascii="仿宋_GB2312" w:hAnsi="仿宋_GB2312" w:cs="仿宋_GB2312" w:eastAsia="仿宋_GB2312"/>
              </w:rPr>
              <w:t>供应商针对本项目提供的施工进度计划与措施包括但不限于：①工期目标;②工期进度安排；③工期组织保证措施；④工期技术保证措施；⑤施工逻辑关系等内容。1、内容完整、与项目需求吻合、思路清晰、层次细化，有具体详细的阐述且符合项目要求的，每小项得3分。2、内容完整、有相关内容的阐述且符合项目要求，每小项得2分。3、内容有缺陷，方案简单,每小项得1分。4、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质量管理与措施</w:t>
            </w:r>
          </w:p>
        </w:tc>
        <w:tc>
          <w:tcPr>
            <w:tcW w:type="dxa" w:w="3115"/>
          </w:tcPr>
          <w:p>
            <w:pPr>
              <w:pStyle w:val="null5"/>
              <w:jc w:val="left"/>
            </w:pPr>
            <w:r>
              <w:rPr>
                <w:rFonts w:ascii="仿宋_GB2312" w:hAnsi="仿宋_GB2312" w:cs="仿宋_GB2312" w:eastAsia="仿宋_GB2312"/>
              </w:rPr>
              <w:t>根据供应商针对本项目的质量管理与措施进行评分，方案、措施包含但不限于以下内容①施工质量目标②施工质量保证体系③质量通病治理措施④物料进场质量保证措施等，且专门针对本项目符合本项目实际需求。1、方案措施具体详细且符合项目实际情况每项得2.5分。2、方案措施不详细、 内容简单、存在缺陷每项得1.5分。3、未提供方案不得分。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供应商针对本项目提供的安全管理体系与措施包括但不限于：①安全目标;②安全管理体系；③安全教育培训；④安全管理措施；⑤安全事故应急预案等内容。1、内容完整、与项目需求吻合、思路清晰、层次细化，有具体详细的阐述且符合项目要求的，每小项得3分。2、内容完整、有相关内容的阐述且符合项目要求，每小项得2分。3、内容有缺陷，方案简单，每小项得1分。4、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供应商针对本项目提供的售后服务方案方案包含但不限于： ①保修范围；②保修期限、责任；③质量巡检计划（巡检时间、巡检流程）；④售后问题响应时间；⑤出现质量问题处理措施等内容。1、内容完整、与项目需求吻合、思路清晰、层次细化，有具体详细的阐述且符合项目要求的，每小项得2分。2、内容完整、有相关内容的阐述且符合项目要求，每小项得1分。3、内容有缺陷，方案简单，每小项得0.5分。4、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环境和文明管理体系与措施</w:t>
            </w:r>
          </w:p>
        </w:tc>
        <w:tc>
          <w:tcPr>
            <w:tcW w:type="dxa" w:w="3115"/>
          </w:tcPr>
          <w:p>
            <w:pPr>
              <w:pStyle w:val="null5"/>
              <w:jc w:val="left"/>
            </w:pPr>
            <w:r>
              <w:rPr>
                <w:rFonts w:ascii="仿宋_GB2312" w:hAnsi="仿宋_GB2312" w:cs="仿宋_GB2312" w:eastAsia="仿宋_GB2312"/>
              </w:rPr>
              <w:t>供应商针对本项目提供的环境和文明管理体系与措施包括但不限于：①环境管理体系；②环境管理制度；③环境控制措施；④文明施工制度；⑤施工现场文明施工措施等内容。1、内容完整、与项目需求吻合、思路清晰、层次细化，有具体详细的阐述且符合项目要求的，每小项得2分。2、内容完整、有相关内容的阐述且符合项目要求，每小项得1分。3、内容有缺陷,方案简单，每小项得0.5分。4、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项目管理机构</w:t>
            </w:r>
          </w:p>
        </w:tc>
        <w:tc>
          <w:tcPr>
            <w:tcW w:type="dxa" w:w="3115"/>
          </w:tcPr>
          <w:p>
            <w:pPr>
              <w:pStyle w:val="null5"/>
              <w:jc w:val="left"/>
            </w:pPr>
            <w:r>
              <w:rPr>
                <w:rFonts w:ascii="仿宋_GB2312" w:hAnsi="仿宋_GB2312" w:cs="仿宋_GB2312" w:eastAsia="仿宋_GB2312"/>
              </w:rPr>
              <w:t>除项目经理及技术负责人外,拟派项目管理班子人员结构合理、专业配备齐全(需提供相应的资格证书)最多得6分,每缺少一员(施工员、资料员、安全员、材料员、质量员、预算员)扣1分，扣完为止。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近三年【2022年-至今】提供建筑工程已完工的项目业绩，有一项加3分，最多得9分。(注:以中标通知书和施工合同为依据)</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