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乌拉特后旗工业园区及呼和温都尔镇2025年-2026年绿化养护及环卫项目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内蒙古巴彦淖尔乌拉特后旗工业园区管理委员会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内蒙古汇正项目管理有限公司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BSZCHQS-G-F-250007</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内蒙古汇正项目管理有限公司</w:t>
      </w:r>
      <w:r>
        <w:rPr>
          <w:rFonts w:ascii="仿宋_GB2312" w:hAnsi="仿宋_GB2312" w:cs="仿宋_GB2312" w:eastAsia="仿宋_GB2312"/>
        </w:rPr>
        <w:t xml:space="preserve"> 受 </w:t>
      </w:r>
      <w:r>
        <w:rPr>
          <w:rFonts w:ascii="仿宋_GB2312" w:hAnsi="仿宋_GB2312" w:cs="仿宋_GB2312" w:eastAsia="仿宋_GB2312"/>
        </w:rPr>
        <w:t>内蒙古巴彦淖尔乌拉特后旗工业园区管理委员会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乌拉特后旗工业园区及呼和温都尔镇2025年-2026年绿化养护及环卫项目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乌拉特后旗工业园区及呼和温都尔镇2025年-2026年绿化养护及环卫项目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BSZCHQS-G-F-250007</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乌后政采计划[2025]00062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26,410,940.00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乌拉特后旗工业园区及呼和温都尔镇绿化养护服务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19,582,090.00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乌拉特后旗工业园区及呼和温都尔镇城区环卫保洁、市政维护服务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6,828,850.00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内蒙古汇正项目管理有限公司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内蒙古自治区巴彦淖尔市临河区庆丰街南银河路东西城名典G8楼六楼604</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李艳</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15147738090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内蒙古巴彦淖尔乌拉特后旗工业园区管理委员会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乌拉特后旗呼和温都尔镇</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015500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赵介甫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13337008816</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甲方授权评标委员会（非招标采购，如谈判、磋商、协商、询价小组）按照采购文件规定的方式确定中标（成交）供应商。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代理服务费收费标准：参照原文件《内蒙古自治区建设工程招标代理服务收费指导意见》的通知（内工建协【2022】34号）附表费率计算。</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采购包1保证金金额：200,000.00元</w:t>
            </w:r>
          </w:p>
          <w:p>
            <w:pPr>
              <w:pStyle w:val="null5"/>
              <w:jc w:val="left"/>
            </w:pPr>
            <w:r>
              <w:rPr>
                <w:rFonts w:ascii="仿宋_GB2312" w:hAnsi="仿宋_GB2312" w:cs="仿宋_GB2312" w:eastAsia="仿宋_GB2312"/>
              </w:rPr>
              <w:t>缴交渠道：虚拟保证金,电子保函</w:t>
            </w:r>
          </w:p>
          <w:p>
            <w:pPr>
              <w:pStyle w:val="null5"/>
              <w:jc w:val="left"/>
            </w:pPr>
            <w:r>
              <w:rPr>
                <w:rFonts w:ascii="仿宋_GB2312" w:hAnsi="仿宋_GB2312" w:cs="仿宋_GB2312" w:eastAsia="仿宋_GB2312"/>
              </w:rPr>
              <w:t xml:space="preserve"> 其他说明：</w:t>
            </w:r>
          </w:p>
          <w:p>
            <w:pPr>
              <w:pStyle w:val="null5"/>
              <w:jc w:val="left"/>
            </w:pPr>
            <w:r>
              <w:rPr>
                <w:rFonts w:ascii="仿宋_GB2312" w:hAnsi="仿宋_GB2312" w:cs="仿宋_GB2312" w:eastAsia="仿宋_GB2312"/>
              </w:rPr>
              <w:t xml:space="preserve"> 1、缴纳截止时间为本项目投标（报价）截止时间，以保证金账户实际收款为准；</w:t>
            </w:r>
          </w:p>
          <w:p>
            <w:pPr>
              <w:pStyle w:val="null5"/>
              <w:jc w:val="left"/>
            </w:pPr>
            <w:r>
              <w:rPr>
                <w:rFonts w:ascii="仿宋_GB2312" w:hAnsi="仿宋_GB2312" w:cs="仿宋_GB2312" w:eastAsia="仿宋_GB2312"/>
              </w:rPr>
              <w:t xml:space="preserve"> 2、采用线下缴纳的，投标单位必须通过基本账户转账至保证金账户，在汇款时要在备注信息中注明本项目的编号及用途（如“项目编号，投标保证金”）。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内蒙古巴彦淖尔乌拉特后旗工业园区管理委员会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内蒙古汇正项目管理有限公司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乌拉特后旗工业园区及呼和温都尔镇绿化养护282.7万平方米（包含养护电费），环卫及市政维护面积311.5万平方米，路灯 1207 盏（维护费及电费）。</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自合同签订起2年内</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乌拉特后旗工业园区及呼和温都尔镇城区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1、共分为24期，第1期-第23期支付比例4.16%，服务费用按月支付，月考核结束后。第24期支付比例4.32%，月考核结束后。，达到付款条件起5日，支付合同总金额的100.00%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履约验收方式</w:t>
            </w:r>
          </w:p>
        </w:tc>
        <w:tc>
          <w:tcPr>
            <w:tcW w:type="dxa" w:w="2076"/>
          </w:tcPr>
          <w:p>
            <w:pPr>
              <w:pStyle w:val="null5"/>
              <w:jc w:val="left"/>
            </w:pPr>
            <w:r>
              <w:rPr>
                <w:rFonts w:ascii="仿宋_GB2312" w:hAnsi="仿宋_GB2312" w:cs="仿宋_GB2312" w:eastAsia="仿宋_GB2312"/>
              </w:rPr>
              <w:t>1、期次1，说明：采购人按绩效考核的方法进行验收，具体在合同中约定。</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质量标准：符合国家或行业验收合格标准，满足采购需求，服务质量达到采购人考核相关验收标准。</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标的名称：乌拉特后旗工业园区及呼和温都尔镇绿化养护服务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pPr>
            <w:r>
              <w:rPr>
                <w:rFonts w:ascii="仿宋_GB2312" w:hAnsi="仿宋_GB2312" w:cs="仿宋_GB2312" w:eastAsia="仿宋_GB2312"/>
                <w:sz w:val="44"/>
                <w:color w:val="000000"/>
              </w:rPr>
              <w:t>管理考核办法</w:t>
            </w:r>
          </w:p>
          <w:p>
            <w:pPr>
              <w:pStyle w:val="null5"/>
              <w:ind w:firstLine="480"/>
              <w:jc w:val="both"/>
            </w:pPr>
            <w:r>
              <w:rPr>
                <w:rFonts w:ascii="仿宋_GB2312" w:hAnsi="仿宋_GB2312" w:cs="仿宋_GB2312" w:eastAsia="仿宋_GB2312"/>
                <w:sz w:val="24"/>
              </w:rPr>
              <w:t>为加强</w:t>
            </w:r>
            <w:r>
              <w:rPr>
                <w:rFonts w:ascii="仿宋_GB2312" w:hAnsi="仿宋_GB2312" w:cs="仿宋_GB2312" w:eastAsia="仿宋_GB2312"/>
                <w:sz w:val="24"/>
              </w:rPr>
              <w:t>园区</w:t>
            </w:r>
            <w:r>
              <w:rPr>
                <w:rFonts w:ascii="仿宋_GB2312" w:hAnsi="仿宋_GB2312" w:cs="仿宋_GB2312" w:eastAsia="仿宋_GB2312"/>
                <w:sz w:val="24"/>
              </w:rPr>
              <w:t>园林绿化管理，提高园林绿化养护质量，结合我</w:t>
            </w:r>
            <w:r>
              <w:rPr>
                <w:rFonts w:ascii="仿宋_GB2312" w:hAnsi="仿宋_GB2312" w:cs="仿宋_GB2312" w:eastAsia="仿宋_GB2312"/>
                <w:sz w:val="24"/>
              </w:rPr>
              <w:t>园区</w:t>
            </w:r>
            <w:r>
              <w:rPr>
                <w:rFonts w:ascii="仿宋_GB2312" w:hAnsi="仿宋_GB2312" w:cs="仿宋_GB2312" w:eastAsia="仿宋_GB2312"/>
                <w:sz w:val="24"/>
              </w:rPr>
              <w:t>实际，依据《园林绿化养护等级质量标准》、《</w:t>
            </w:r>
            <w:r>
              <w:rPr>
                <w:rFonts w:ascii="仿宋_GB2312" w:hAnsi="仿宋_GB2312" w:cs="仿宋_GB2312" w:eastAsia="仿宋_GB2312"/>
                <w:sz w:val="24"/>
              </w:rPr>
              <w:t>内蒙古自治区城市园林绿化管理办法》</w:t>
            </w:r>
            <w:r>
              <w:rPr>
                <w:rFonts w:ascii="仿宋_GB2312" w:hAnsi="仿宋_GB2312" w:cs="仿宋_GB2312" w:eastAsia="仿宋_GB2312"/>
                <w:sz w:val="24"/>
              </w:rPr>
              <w:t>等有关法律法规及技术规范，制定本办法。</w:t>
            </w:r>
          </w:p>
          <w:p>
            <w:pPr>
              <w:pStyle w:val="null5"/>
              <w:jc w:val="both"/>
            </w:pPr>
            <w:r>
              <w:rPr>
                <w:rFonts w:ascii="仿宋_GB2312" w:hAnsi="仿宋_GB2312" w:cs="仿宋_GB2312" w:eastAsia="仿宋_GB2312"/>
                <w:sz w:val="32"/>
                <w:b/>
              </w:rPr>
              <w:t>一、管理的范围</w:t>
            </w:r>
          </w:p>
          <w:p>
            <w:pPr>
              <w:pStyle w:val="null5"/>
              <w:ind w:firstLine="480"/>
              <w:jc w:val="both"/>
            </w:pPr>
            <w:r>
              <w:rPr>
                <w:rFonts w:ascii="仿宋_GB2312" w:hAnsi="仿宋_GB2312" w:cs="仿宋_GB2312" w:eastAsia="仿宋_GB2312"/>
                <w:sz w:val="24"/>
              </w:rPr>
              <w:t>本办法适用于</w:t>
            </w:r>
            <w:r>
              <w:rPr>
                <w:rFonts w:ascii="仿宋_GB2312" w:hAnsi="仿宋_GB2312" w:cs="仿宋_GB2312" w:eastAsia="仿宋_GB2312"/>
                <w:sz w:val="24"/>
              </w:rPr>
              <w:t>园区</w:t>
            </w:r>
            <w:r>
              <w:rPr>
                <w:rFonts w:ascii="仿宋_GB2312" w:hAnsi="仿宋_GB2312" w:cs="仿宋_GB2312" w:eastAsia="仿宋_GB2312"/>
                <w:sz w:val="24"/>
              </w:rPr>
              <w:t>园林绿化的道路绿地、公共绿地内树木、花卉、地被和草坪等植物及各类园林设施的养护管理工作。</w:t>
            </w:r>
          </w:p>
          <w:p>
            <w:pPr>
              <w:pStyle w:val="null5"/>
              <w:jc w:val="both"/>
            </w:pPr>
            <w:r>
              <w:rPr>
                <w:rFonts w:ascii="仿宋_GB2312" w:hAnsi="仿宋_GB2312" w:cs="仿宋_GB2312" w:eastAsia="仿宋_GB2312"/>
                <w:sz w:val="32"/>
                <w:b/>
              </w:rPr>
              <w:t>二、考核主体与被考核对象</w:t>
            </w:r>
          </w:p>
          <w:p>
            <w:pPr>
              <w:pStyle w:val="null5"/>
              <w:jc w:val="both"/>
            </w:pPr>
            <w:r>
              <w:rPr>
                <w:rFonts w:ascii="仿宋_GB2312" w:hAnsi="仿宋_GB2312" w:cs="仿宋_GB2312" w:eastAsia="仿宋_GB2312"/>
                <w:sz w:val="21"/>
              </w:rPr>
              <w:t xml:space="preserve">   </w:t>
            </w:r>
            <w:r>
              <w:rPr>
                <w:rFonts w:ascii="仿宋_GB2312" w:hAnsi="仿宋_GB2312" w:cs="仿宋_GB2312" w:eastAsia="仿宋_GB2312"/>
                <w:sz w:val="24"/>
              </w:rPr>
              <w:t>工业园区</w:t>
            </w:r>
            <w:r>
              <w:rPr>
                <w:rFonts w:ascii="仿宋_GB2312" w:hAnsi="仿宋_GB2312" w:cs="仿宋_GB2312" w:eastAsia="仿宋_GB2312"/>
                <w:sz w:val="24"/>
              </w:rPr>
              <w:t>牵</w:t>
            </w:r>
            <w:r>
              <w:rPr>
                <w:rFonts w:ascii="仿宋_GB2312" w:hAnsi="仿宋_GB2312" w:cs="仿宋_GB2312" w:eastAsia="仿宋_GB2312"/>
                <w:sz w:val="24"/>
              </w:rPr>
              <w:t>头</w:t>
            </w:r>
            <w:r>
              <w:rPr>
                <w:rFonts w:ascii="仿宋_GB2312" w:hAnsi="仿宋_GB2312" w:cs="仿宋_GB2312" w:eastAsia="仿宋_GB2312"/>
                <w:sz w:val="24"/>
              </w:rPr>
              <w:t>园区</w:t>
            </w:r>
            <w:r>
              <w:rPr>
                <w:rFonts w:ascii="仿宋_GB2312" w:hAnsi="仿宋_GB2312" w:cs="仿宋_GB2312" w:eastAsia="仿宋_GB2312"/>
                <w:sz w:val="24"/>
              </w:rPr>
              <w:t>园林绿化的考核工作，园林绿化</w:t>
            </w:r>
            <w:r>
              <w:rPr>
                <w:rFonts w:ascii="仿宋_GB2312" w:hAnsi="仿宋_GB2312" w:cs="仿宋_GB2312" w:eastAsia="仿宋_GB2312"/>
                <w:sz w:val="24"/>
              </w:rPr>
              <w:t>科室</w:t>
            </w:r>
            <w:r>
              <w:rPr>
                <w:rFonts w:ascii="仿宋_GB2312" w:hAnsi="仿宋_GB2312" w:cs="仿宋_GB2312" w:eastAsia="仿宋_GB2312"/>
                <w:sz w:val="24"/>
              </w:rPr>
              <w:t>具体负责；被考核对象为乌拉特后旗工业园区及呼和温都尔镇</w:t>
            </w:r>
            <w:r>
              <w:rPr>
                <w:rFonts w:ascii="仿宋_GB2312" w:hAnsi="仿宋_GB2312" w:cs="仿宋_GB2312" w:eastAsia="仿宋_GB2312"/>
                <w:sz w:val="24"/>
              </w:rPr>
              <w:t>2025-2026年绿化养护及环卫项目</w:t>
            </w:r>
            <w:r>
              <w:rPr>
                <w:rFonts w:ascii="仿宋_GB2312" w:hAnsi="仿宋_GB2312" w:cs="仿宋_GB2312" w:eastAsia="仿宋_GB2312"/>
                <w:sz w:val="24"/>
              </w:rPr>
              <w:t>中标（成交）供应商</w:t>
            </w:r>
            <w:r>
              <w:rPr>
                <w:rFonts w:ascii="仿宋_GB2312" w:hAnsi="仿宋_GB2312" w:cs="仿宋_GB2312" w:eastAsia="仿宋_GB2312"/>
                <w:sz w:val="24"/>
              </w:rPr>
              <w:t>。</w:t>
            </w:r>
          </w:p>
          <w:p>
            <w:pPr>
              <w:pStyle w:val="null5"/>
              <w:jc w:val="both"/>
            </w:pPr>
            <w:r>
              <w:rPr>
                <w:rFonts w:ascii="仿宋_GB2312" w:hAnsi="仿宋_GB2312" w:cs="仿宋_GB2312" w:eastAsia="仿宋_GB2312"/>
                <w:sz w:val="30"/>
                <w:b/>
              </w:rPr>
              <w:t>三、管理考核的内容</w:t>
            </w:r>
            <w:r>
              <w:rPr>
                <w:rFonts w:ascii="仿宋_GB2312" w:hAnsi="仿宋_GB2312" w:cs="仿宋_GB2312" w:eastAsia="仿宋_GB2312"/>
                <w:sz w:val="21"/>
              </w:rPr>
              <w:t xml:space="preserve">     </w:t>
            </w:r>
          </w:p>
          <w:p>
            <w:pPr>
              <w:pStyle w:val="null5"/>
              <w:ind w:firstLine="480"/>
              <w:jc w:val="both"/>
            </w:pPr>
            <w:r>
              <w:rPr>
                <w:rFonts w:ascii="仿宋_GB2312" w:hAnsi="仿宋_GB2312" w:cs="仿宋_GB2312" w:eastAsia="仿宋_GB2312"/>
                <w:sz w:val="24"/>
              </w:rPr>
              <w:t>园区</w:t>
            </w:r>
            <w:r>
              <w:rPr>
                <w:rFonts w:ascii="仿宋_GB2312" w:hAnsi="仿宋_GB2312" w:cs="仿宋_GB2312" w:eastAsia="仿宋_GB2312"/>
                <w:sz w:val="24"/>
              </w:rPr>
              <w:t>道路绿地、公共绿地的</w:t>
            </w:r>
            <w:r>
              <w:rPr>
                <w:rFonts w:ascii="仿宋_GB2312" w:hAnsi="仿宋_GB2312" w:cs="仿宋_GB2312" w:eastAsia="仿宋_GB2312"/>
                <w:sz w:val="24"/>
                <w:color w:val="333333"/>
              </w:rPr>
              <w:t>绿化养护情况从四个方面进行考核，具体考核内容及分值见下表</w:t>
            </w:r>
            <w:r>
              <w:rPr>
                <w:rFonts w:ascii="仿宋_GB2312" w:hAnsi="仿宋_GB2312" w:cs="仿宋_GB2312" w:eastAsia="仿宋_GB2312"/>
                <w:sz w:val="24"/>
              </w:rPr>
              <w:t>。</w:t>
            </w:r>
          </w:p>
          <w:tbl>
            <w:tblPr>
              <w:tblInd w:type="dxa" w:w="135"/>
              <w:tblBorders>
                <w:top w:val="none" w:color="000000" w:sz="4"/>
                <w:left w:val="none" w:color="000000" w:sz="4"/>
                <w:bottom w:val="none" w:color="000000" w:sz="4"/>
                <w:right w:val="none" w:color="000000" w:sz="4"/>
                <w:insideH w:val="none"/>
                <w:insideV w:val="none"/>
              </w:tblBorders>
            </w:tblPr>
            <w:tblGrid>
              <w:gridCol w:w="208"/>
              <w:gridCol w:w="963"/>
              <w:gridCol w:w="1382"/>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序号</w:t>
                  </w:r>
                </w:p>
              </w:tc>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考核内容</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分值</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一</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绿化养护质量</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二</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安全管理及文明作业</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三</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基础资料、台帐</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四</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完成交办事项</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合计</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rPr>
                    <w:t>100</w:t>
                  </w:r>
                </w:p>
              </w:tc>
            </w:tr>
          </w:tbl>
          <w:p>
            <w:pPr>
              <w:pStyle w:val="null5"/>
              <w:jc w:val="both"/>
            </w:pPr>
            <w:r>
              <w:rPr>
                <w:rFonts w:ascii="仿宋_GB2312" w:hAnsi="仿宋_GB2312" w:cs="仿宋_GB2312" w:eastAsia="仿宋_GB2312"/>
                <w:sz w:val="30"/>
                <w:b/>
              </w:rPr>
              <w:t>四、具体要求及考核标准</w:t>
            </w:r>
          </w:p>
          <w:p>
            <w:pPr>
              <w:pStyle w:val="null5"/>
              <w:jc w:val="both"/>
            </w:pPr>
            <w:r>
              <w:rPr>
                <w:rFonts w:ascii="仿宋_GB2312" w:hAnsi="仿宋_GB2312" w:cs="仿宋_GB2312" w:eastAsia="仿宋_GB2312"/>
                <w:sz w:val="24"/>
                <w:b/>
                <w:color w:val="333333"/>
              </w:rPr>
              <w:t>（一）</w:t>
            </w:r>
            <w:r>
              <w:rPr>
                <w:rFonts w:ascii="仿宋_GB2312" w:hAnsi="仿宋_GB2312" w:cs="仿宋_GB2312" w:eastAsia="仿宋_GB2312"/>
                <w:sz w:val="28"/>
                <w:b/>
                <w:color w:val="333333"/>
              </w:rPr>
              <w:t>绿化养护质量及考核标准（</w:t>
            </w:r>
            <w:r>
              <w:rPr>
                <w:rFonts w:ascii="仿宋_GB2312" w:hAnsi="仿宋_GB2312" w:cs="仿宋_GB2312" w:eastAsia="仿宋_GB2312"/>
                <w:sz w:val="28"/>
                <w:b/>
                <w:color w:val="333333"/>
              </w:rPr>
              <w:t>75分）</w:t>
            </w:r>
          </w:p>
          <w:p>
            <w:pPr>
              <w:pStyle w:val="null5"/>
              <w:jc w:val="both"/>
            </w:pPr>
            <w:r>
              <w:rPr>
                <w:rFonts w:ascii="仿宋_GB2312" w:hAnsi="仿宋_GB2312" w:cs="仿宋_GB2312" w:eastAsia="仿宋_GB2312"/>
                <w:sz w:val="24"/>
                <w:color w:val="333333"/>
              </w:rPr>
              <w:t xml:space="preserve"> 1</w:t>
            </w:r>
            <w:r>
              <w:rPr>
                <w:rFonts w:ascii="仿宋_GB2312" w:hAnsi="仿宋_GB2312" w:cs="仿宋_GB2312" w:eastAsia="仿宋_GB2312"/>
                <w:sz w:val="24"/>
                <w:color w:val="333333"/>
              </w:rPr>
              <w:t>、</w:t>
            </w:r>
            <w:r>
              <w:rPr>
                <w:rFonts w:ascii="仿宋_GB2312" w:hAnsi="仿宋_GB2312" w:cs="仿宋_GB2312" w:eastAsia="仿宋_GB2312"/>
                <w:sz w:val="24"/>
                <w:b/>
                <w:color w:val="333333"/>
              </w:rPr>
              <w:t>行道树养护质量标准及扣分（</w:t>
            </w:r>
            <w:r>
              <w:rPr>
                <w:rFonts w:ascii="仿宋_GB2312" w:hAnsi="仿宋_GB2312" w:cs="仿宋_GB2312" w:eastAsia="仿宋_GB2312"/>
                <w:sz w:val="24"/>
                <w:b/>
                <w:color w:val="333333"/>
              </w:rPr>
              <w:t>10分）</w:t>
            </w:r>
          </w:p>
          <w:tbl>
            <w:tblPr>
              <w:tblBorders>
                <w:top w:val="none" w:color="000000" w:sz="4"/>
                <w:left w:val="none" w:color="000000" w:sz="4"/>
                <w:bottom w:val="none" w:color="000000" w:sz="4"/>
                <w:right w:val="none" w:color="000000" w:sz="4"/>
                <w:insideH w:val="none"/>
                <w:insideV w:val="none"/>
              </w:tblBorders>
            </w:tblPr>
            <w:tblGrid>
              <w:gridCol w:w="211"/>
              <w:gridCol w:w="959"/>
              <w:gridCol w:w="1382"/>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养护质量标准</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适时修剪</w:t>
                  </w:r>
                  <w:r>
                    <w:rPr>
                      <w:rFonts w:ascii="仿宋_GB2312" w:hAnsi="仿宋_GB2312" w:cs="仿宋_GB2312" w:eastAsia="仿宋_GB2312"/>
                      <w:sz w:val="24"/>
                      <w:color w:val="333333"/>
                    </w:rPr>
                    <w:t>,树冠完整，骨架均匀，生长态势良好，无明显病枯枝、倒垂枝，萌芽徒长枝控制在30cm以内。</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在修剪季节不及时修剪的每株扣</w:t>
                  </w:r>
                  <w:r>
                    <w:rPr>
                      <w:rFonts w:ascii="仿宋_GB2312" w:hAnsi="仿宋_GB2312" w:cs="仿宋_GB2312" w:eastAsia="仿宋_GB2312"/>
                      <w:sz w:val="24"/>
                      <w:color w:val="333333"/>
                    </w:rPr>
                    <w:t>0.2分,树冠不完整每株扣0.2分，明显枯枝一株扣0.1分，萌芽30cm以上每株扣0.1分。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病虫害防治及时、有效，常见病虫危害在</w:t>
                  </w:r>
                  <w:r>
                    <w:rPr>
                      <w:rFonts w:ascii="仿宋_GB2312" w:hAnsi="仿宋_GB2312" w:cs="仿宋_GB2312" w:eastAsia="仿宋_GB2312"/>
                      <w:sz w:val="24"/>
                      <w:color w:val="333333"/>
                    </w:rPr>
                    <w:t>5%以下。</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明显病虫害每株扣</w:t>
                  </w:r>
                  <w:r>
                    <w:rPr>
                      <w:rFonts w:ascii="仿宋_GB2312" w:hAnsi="仿宋_GB2312" w:cs="仿宋_GB2312" w:eastAsia="仿宋_GB2312"/>
                      <w:sz w:val="24"/>
                      <w:color w:val="333333"/>
                    </w:rPr>
                    <w:t>0.2分。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3</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缺株及时补种，无枯死株。</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老树缺少一株扣</w:t>
                  </w:r>
                  <w:r>
                    <w:rPr>
                      <w:rFonts w:ascii="仿宋_GB2312" w:hAnsi="仿宋_GB2312" w:cs="仿宋_GB2312" w:eastAsia="仿宋_GB2312"/>
                      <w:sz w:val="24"/>
                      <w:color w:val="333333"/>
                    </w:rPr>
                    <w:t>0.5分，死树未及时处理一株扣1分，未适时补种一株扣1分。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4</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新种树成活率在</w:t>
                  </w:r>
                  <w:r>
                    <w:rPr>
                      <w:rFonts w:ascii="仿宋_GB2312" w:hAnsi="仿宋_GB2312" w:cs="仿宋_GB2312" w:eastAsia="仿宋_GB2312"/>
                      <w:sz w:val="24"/>
                      <w:color w:val="333333"/>
                    </w:rPr>
                    <w:t>95%以上，新种树及时扶正，倾斜度不超过10度，规格基本一致。树木无绑扎，无乱挂现象。</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新种树倾斜度超过</w:t>
                  </w:r>
                  <w:r>
                    <w:rPr>
                      <w:rFonts w:ascii="仿宋_GB2312" w:hAnsi="仿宋_GB2312" w:cs="仿宋_GB2312" w:eastAsia="仿宋_GB2312"/>
                      <w:sz w:val="24"/>
                      <w:color w:val="333333"/>
                    </w:rPr>
                    <w:t>10度每株扣0.2分，缺株1株扣0.3分，死树未及时处理一株扣1分。树木每处绑扎、乱挂扣0.2分。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5</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树穴杂草清理及时，无积水、无杂物，无落叶，无灰烬。</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树穴内杂草长度超过</w:t>
                  </w:r>
                  <w:r>
                    <w:rPr>
                      <w:rFonts w:ascii="仿宋_GB2312" w:hAnsi="仿宋_GB2312" w:cs="仿宋_GB2312" w:eastAsia="仿宋_GB2312"/>
                      <w:sz w:val="24"/>
                      <w:color w:val="333333"/>
                    </w:rPr>
                    <w:t>15cm每处扣0.2分，有杂物的每处扣0.1分，树穴有明显杂物、落叶、灰烬的每处扣0.2分。</w:t>
                  </w:r>
                </w:p>
              </w:tc>
            </w:tr>
          </w:tbl>
          <w:p>
            <w:pPr>
              <w:pStyle w:val="null5"/>
              <w:jc w:val="both"/>
            </w:pPr>
            <w:r>
              <w:rPr>
                <w:rFonts w:ascii="仿宋_GB2312" w:hAnsi="仿宋_GB2312" w:cs="仿宋_GB2312" w:eastAsia="仿宋_GB2312"/>
                <w:sz w:val="24"/>
                <w:b/>
                <w:color w:val="333333"/>
              </w:rPr>
              <w:t>2、绿地养护质量标准及扣分（65分）</w:t>
            </w:r>
          </w:p>
          <w:p>
            <w:pPr>
              <w:pStyle w:val="null5"/>
              <w:jc w:val="both"/>
            </w:pPr>
            <w:r>
              <w:rPr>
                <w:rFonts w:ascii="仿宋_GB2312" w:hAnsi="仿宋_GB2312" w:cs="仿宋_GB2312" w:eastAsia="仿宋_GB2312"/>
                <w:sz w:val="24"/>
                <w:color w:val="333333"/>
              </w:rPr>
              <w:t>１</w:t>
            </w:r>
            <w:r>
              <w:rPr>
                <w:rFonts w:ascii="仿宋_GB2312" w:hAnsi="仿宋_GB2312" w:cs="仿宋_GB2312" w:eastAsia="仿宋_GB2312"/>
                <w:sz w:val="24"/>
                <w:color w:val="333333"/>
              </w:rPr>
              <w:t>)植物（15分）</w:t>
            </w:r>
          </w:p>
          <w:tbl>
            <w:tblPr>
              <w:tblBorders>
                <w:top w:val="none" w:color="000000" w:sz="4"/>
                <w:left w:val="none" w:color="000000" w:sz="4"/>
                <w:bottom w:val="none" w:color="000000" w:sz="4"/>
                <w:right w:val="none" w:color="000000" w:sz="4"/>
                <w:insideH w:val="none"/>
                <w:insideV w:val="none"/>
              </w:tblBorders>
            </w:tblPr>
            <w:tblGrid>
              <w:gridCol w:w="211"/>
              <w:gridCol w:w="955"/>
              <w:gridCol w:w="1386"/>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养护质量标准</w:t>
                  </w:r>
                </w:p>
              </w:tc>
              <w:tc>
                <w:tcPr>
                  <w:tcW w:type="dxa" w:w="13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乔灌木树冠完整，生长旺盛，无病虫害，无枯死枝、无枯死株、无缺株。</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树冠不完整每株扣</w:t>
                  </w:r>
                  <w:r>
                    <w:rPr>
                      <w:rFonts w:ascii="仿宋_GB2312" w:hAnsi="仿宋_GB2312" w:cs="仿宋_GB2312" w:eastAsia="仿宋_GB2312"/>
                      <w:sz w:val="24"/>
                      <w:color w:val="333333"/>
                    </w:rPr>
                    <w:t>0.1分，明显枯枝每</w:t>
                  </w:r>
                  <w:r>
                    <w:rPr>
                      <w:rFonts w:ascii="仿宋_GB2312" w:hAnsi="仿宋_GB2312" w:cs="仿宋_GB2312" w:eastAsia="仿宋_GB2312"/>
                      <w:sz w:val="24"/>
                      <w:color w:val="333333"/>
                    </w:rPr>
                    <w:t>处</w:t>
                  </w:r>
                  <w:r>
                    <w:rPr>
                      <w:rFonts w:ascii="仿宋_GB2312" w:hAnsi="仿宋_GB2312" w:cs="仿宋_GB2312" w:eastAsia="仿宋_GB2312"/>
                      <w:sz w:val="24"/>
                      <w:color w:val="333333"/>
                    </w:rPr>
                    <w:t>扣</w:t>
                  </w:r>
                  <w:r>
                    <w:rPr>
                      <w:rFonts w:ascii="仿宋_GB2312" w:hAnsi="仿宋_GB2312" w:cs="仿宋_GB2312" w:eastAsia="仿宋_GB2312"/>
                      <w:sz w:val="24"/>
                      <w:color w:val="333333"/>
                    </w:rPr>
                    <w:t>0</w:t>
                  </w:r>
                  <w:r>
                    <w:rPr>
                      <w:rFonts w:ascii="仿宋_GB2312" w:hAnsi="仿宋_GB2312" w:cs="仿宋_GB2312" w:eastAsia="仿宋_GB2312"/>
                      <w:sz w:val="24"/>
                      <w:color w:val="333333"/>
                    </w:rPr>
                    <w:t>.1</w:t>
                  </w:r>
                  <w:r>
                    <w:rPr>
                      <w:rFonts w:ascii="仿宋_GB2312" w:hAnsi="仿宋_GB2312" w:cs="仿宋_GB2312" w:eastAsia="仿宋_GB2312"/>
                      <w:sz w:val="24"/>
                      <w:color w:val="333333"/>
                    </w:rPr>
                    <w:t>分。乔木缺少一株扣</w:t>
                  </w:r>
                  <w:r>
                    <w:rPr>
                      <w:rFonts w:ascii="仿宋_GB2312" w:hAnsi="仿宋_GB2312" w:cs="仿宋_GB2312" w:eastAsia="仿宋_GB2312"/>
                      <w:sz w:val="24"/>
                      <w:color w:val="333333"/>
                    </w:rPr>
                    <w:t>0.2分，发现乔木死树一株扣0.5分，灌木缺少扣0.</w:t>
                  </w:r>
                  <w:r>
                    <w:rPr>
                      <w:rFonts w:ascii="仿宋_GB2312" w:hAnsi="仿宋_GB2312" w:cs="仿宋_GB2312" w:eastAsia="仿宋_GB2312"/>
                      <w:sz w:val="24"/>
                      <w:color w:val="333333"/>
                    </w:rPr>
                    <w:t>5</w:t>
                  </w:r>
                  <w:r>
                    <w:rPr>
                      <w:rFonts w:ascii="仿宋_GB2312" w:hAnsi="仿宋_GB2312" w:cs="仿宋_GB2312" w:eastAsia="仿宋_GB2312"/>
                      <w:sz w:val="24"/>
                      <w:color w:val="333333"/>
                    </w:rPr>
                    <w:t>分，死一株扣</w:t>
                  </w:r>
                  <w:r>
                    <w:rPr>
                      <w:rFonts w:ascii="仿宋_GB2312" w:hAnsi="仿宋_GB2312" w:cs="仿宋_GB2312" w:eastAsia="仿宋_GB2312"/>
                      <w:sz w:val="24"/>
                      <w:color w:val="333333"/>
                    </w:rPr>
                    <w:t>0.3分。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做好古树名木及大树</w:t>
                  </w:r>
                  <w:r>
                    <w:rPr>
                      <w:rFonts w:ascii="仿宋_GB2312" w:hAnsi="仿宋_GB2312" w:cs="仿宋_GB2312" w:eastAsia="仿宋_GB2312"/>
                      <w:sz w:val="24"/>
                      <w:color w:val="333333"/>
                    </w:rPr>
                    <w:t>(指胸径20cm以上的乔木或冠径2m以上的灌木)的管护工作，长势旺盛，无病虫害枯枝。</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古树或大树明显病虫危害每棵扣</w:t>
                  </w:r>
                  <w:r>
                    <w:rPr>
                      <w:rFonts w:ascii="仿宋_GB2312" w:hAnsi="仿宋_GB2312" w:cs="仿宋_GB2312" w:eastAsia="仿宋_GB2312"/>
                      <w:sz w:val="24"/>
                      <w:color w:val="333333"/>
                    </w:rPr>
                    <w:t>1分，未及时修剪</w:t>
                  </w:r>
                  <w:r>
                    <w:rPr>
                      <w:rFonts w:ascii="仿宋_GB2312" w:hAnsi="仿宋_GB2312" w:cs="仿宋_GB2312" w:eastAsia="仿宋_GB2312"/>
                      <w:sz w:val="24"/>
                      <w:color w:val="333333"/>
                    </w:rPr>
                    <w:t>、</w:t>
                  </w:r>
                  <w:r>
                    <w:rPr>
                      <w:rFonts w:ascii="仿宋_GB2312" w:hAnsi="仿宋_GB2312" w:cs="仿宋_GB2312" w:eastAsia="仿宋_GB2312"/>
                      <w:sz w:val="24"/>
                      <w:color w:val="333333"/>
                    </w:rPr>
                    <w:t>有明显死株缺株</w:t>
                  </w:r>
                  <w:r>
                    <w:rPr>
                      <w:rFonts w:ascii="仿宋_GB2312" w:hAnsi="仿宋_GB2312" w:cs="仿宋_GB2312" w:eastAsia="仿宋_GB2312"/>
                      <w:sz w:val="24"/>
                      <w:color w:val="333333"/>
                    </w:rPr>
                    <w:t>扣</w:t>
                  </w:r>
                  <w:r>
                    <w:rPr>
                      <w:rFonts w:ascii="仿宋_GB2312" w:hAnsi="仿宋_GB2312" w:cs="仿宋_GB2312" w:eastAsia="仿宋_GB2312"/>
                      <w:sz w:val="24"/>
                      <w:color w:val="333333"/>
                    </w:rPr>
                    <w:t>0.2分。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3</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绿篱、色块整齐，高度控制得当，无破残，生长良好，无残缺、无死株、徒长枝在</w:t>
                  </w:r>
                  <w:r>
                    <w:rPr>
                      <w:rFonts w:ascii="仿宋_GB2312" w:hAnsi="仿宋_GB2312" w:cs="仿宋_GB2312" w:eastAsia="仿宋_GB2312"/>
                      <w:sz w:val="24"/>
                      <w:color w:val="333333"/>
                    </w:rPr>
                    <w:t>10cm以下。</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绿篱、色块每株死株扣</w:t>
                  </w:r>
                  <w:r>
                    <w:rPr>
                      <w:rFonts w:ascii="仿宋_GB2312" w:hAnsi="仿宋_GB2312" w:cs="仿宋_GB2312" w:eastAsia="仿宋_GB2312"/>
                      <w:sz w:val="24"/>
                      <w:color w:val="333333"/>
                    </w:rPr>
                    <w:t>0.1分，缺株每株扣0.05分；生长较差,密实度低于90%的每平方扣0.2分，密实度低于80%的每平方扣0.5分。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4</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草花盆花换花及时，做到四季有花，节日布置有重点有创意，无明显残叶枯花。加强水生植物养护、管理。</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草花调换不及时，或草花明显接不上每平方扣</w:t>
                  </w:r>
                  <w:r>
                    <w:rPr>
                      <w:rFonts w:ascii="仿宋_GB2312" w:hAnsi="仿宋_GB2312" w:cs="仿宋_GB2312" w:eastAsia="仿宋_GB2312"/>
                      <w:sz w:val="24"/>
                      <w:color w:val="333333"/>
                    </w:rPr>
                    <w:t>0.1分，明显残花每平方扣0.2分。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5</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地被植物长势茂盛，草坪高度控制平坦整齐，无明显杂草，植草砖内草坪应全覆盖。</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明显高杂草扣</w:t>
                  </w:r>
                  <w:r>
                    <w:rPr>
                      <w:rFonts w:ascii="仿宋_GB2312" w:hAnsi="仿宋_GB2312" w:cs="仿宋_GB2312" w:eastAsia="仿宋_GB2312"/>
                      <w:sz w:val="24"/>
                      <w:color w:val="333333"/>
                    </w:rPr>
                    <w:t>0.1分／m</w:t>
                  </w:r>
                  <w:r>
                    <w:rPr>
                      <w:rFonts w:ascii="仿宋_GB2312" w:hAnsi="仿宋_GB2312" w:cs="仿宋_GB2312" w:eastAsia="仿宋_GB2312"/>
                      <w:sz w:val="24"/>
                      <w:color w:val="333333"/>
                      <w:vertAlign w:val="superscript"/>
                    </w:rPr>
                    <w:t>2</w:t>
                  </w:r>
                  <w:r>
                    <w:rPr>
                      <w:rFonts w:ascii="仿宋_GB2312" w:hAnsi="仿宋_GB2312" w:cs="仿宋_GB2312" w:eastAsia="仿宋_GB2312"/>
                      <w:sz w:val="24"/>
                      <w:color w:val="333333"/>
                    </w:rPr>
                    <w:t>，草坪超过高度扣</w:t>
                  </w:r>
                  <w:r>
                    <w:rPr>
                      <w:rFonts w:ascii="仿宋_GB2312" w:hAnsi="仿宋_GB2312" w:cs="仿宋_GB2312" w:eastAsia="仿宋_GB2312"/>
                      <w:sz w:val="24"/>
                      <w:color w:val="333333"/>
                    </w:rPr>
                    <w:t>0.1分/平方米，残缺或斑秃扣0.2分／m</w:t>
                  </w:r>
                  <w:r>
                    <w:rPr>
                      <w:rFonts w:ascii="仿宋_GB2312" w:hAnsi="仿宋_GB2312" w:cs="仿宋_GB2312" w:eastAsia="仿宋_GB2312"/>
                      <w:sz w:val="24"/>
                      <w:color w:val="333333"/>
                      <w:vertAlign w:val="superscript"/>
                    </w:rPr>
                    <w:t>2</w:t>
                  </w:r>
                  <w:r>
                    <w:rPr>
                      <w:rFonts w:ascii="仿宋_GB2312" w:hAnsi="仿宋_GB2312" w:cs="仿宋_GB2312" w:eastAsia="仿宋_GB2312"/>
                      <w:sz w:val="24"/>
                      <w:color w:val="333333"/>
                    </w:rPr>
                    <w:t>，植草砖内草坪露土扣</w:t>
                  </w:r>
                  <w:r>
                    <w:rPr>
                      <w:rFonts w:ascii="仿宋_GB2312" w:hAnsi="仿宋_GB2312" w:cs="仿宋_GB2312" w:eastAsia="仿宋_GB2312"/>
                      <w:sz w:val="24"/>
                      <w:color w:val="333333"/>
                    </w:rPr>
                    <w:t>0.2分／m</w:t>
                  </w:r>
                  <w:r>
                    <w:rPr>
                      <w:rFonts w:ascii="仿宋_GB2312" w:hAnsi="仿宋_GB2312" w:cs="仿宋_GB2312" w:eastAsia="仿宋_GB2312"/>
                      <w:sz w:val="24"/>
                      <w:color w:val="333333"/>
                      <w:vertAlign w:val="superscript"/>
                    </w:rPr>
                    <w:t>2</w:t>
                  </w:r>
                  <w:r>
                    <w:rPr>
                      <w:rFonts w:ascii="仿宋_GB2312" w:hAnsi="仿宋_GB2312" w:cs="仿宋_GB2312" w:eastAsia="仿宋_GB2312"/>
                      <w:sz w:val="24"/>
                      <w:color w:val="333333"/>
                    </w:rPr>
                    <w:t>。</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6</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造型植物保持优美形态，生长旺盛，无明显残缺。</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造型植物每株残缺面</w:t>
                  </w:r>
                  <w:r>
                    <w:rPr>
                      <w:rFonts w:ascii="仿宋_GB2312" w:hAnsi="仿宋_GB2312" w:cs="仿宋_GB2312" w:eastAsia="仿宋_GB2312"/>
                      <w:sz w:val="24"/>
                      <w:color w:val="333333"/>
                    </w:rPr>
                    <w:t>&gt;10%扣0.2分，&gt;20%扣0.5分。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7</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植物病虫害防治及时，危害率控制在</w:t>
                  </w:r>
                  <w:r>
                    <w:rPr>
                      <w:rFonts w:ascii="仿宋_GB2312" w:hAnsi="仿宋_GB2312" w:cs="仿宋_GB2312" w:eastAsia="仿宋_GB2312"/>
                      <w:sz w:val="24"/>
                      <w:color w:val="333333"/>
                    </w:rPr>
                    <w:t>5％以下。</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明显病虫危害乔木每株扣</w:t>
                  </w:r>
                  <w:r>
                    <w:rPr>
                      <w:rFonts w:ascii="仿宋_GB2312" w:hAnsi="仿宋_GB2312" w:cs="仿宋_GB2312" w:eastAsia="仿宋_GB2312"/>
                      <w:sz w:val="24"/>
                      <w:color w:val="333333"/>
                    </w:rPr>
                    <w:t>0.2分,灌木每株扣0.1分, 绿篱、色块、草坪每平方扣0.1分。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8</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绿化景观效果显著，无杂草、无植物倒伏，无景点破坏。垂直绿化长势良好。</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植物倒伏一株扣</w:t>
                  </w:r>
                  <w:r>
                    <w:rPr>
                      <w:rFonts w:ascii="仿宋_GB2312" w:hAnsi="仿宋_GB2312" w:cs="仿宋_GB2312" w:eastAsia="仿宋_GB2312"/>
                      <w:sz w:val="24"/>
                      <w:color w:val="333333"/>
                    </w:rPr>
                    <w:t>0.5分，植物造景破坏不及时修复视其情节一处扣1-3分。垂直绿化死亡、缺损每延长米扣0.2分。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9</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植物、地被茂盛地段严禁喷洒灭草剂。</w:t>
                  </w:r>
                </w:p>
              </w:tc>
              <w:tc>
                <w:tcPr>
                  <w:tcW w:type="dxa" w:w="13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因人为因素喷洒灭草剂导致成片植物死亡的，低于</w:t>
                  </w:r>
                  <w:r>
                    <w:rPr>
                      <w:rFonts w:ascii="仿宋_GB2312" w:hAnsi="仿宋_GB2312" w:cs="仿宋_GB2312" w:eastAsia="仿宋_GB2312"/>
                      <w:sz w:val="24"/>
                      <w:color w:val="333333"/>
                    </w:rPr>
                    <w:t>50㎡，扣0.2分/㎡，超过50㎡，扣除15分，同时核算相关植物损失，小组养护人员造价赔偿。</w:t>
                  </w:r>
                </w:p>
              </w:tc>
            </w:tr>
          </w:tbl>
          <w:p>
            <w:pPr>
              <w:pStyle w:val="null5"/>
              <w:jc w:val="both"/>
            </w:pPr>
            <w:r>
              <w:rPr>
                <w:rFonts w:ascii="仿宋_GB2312" w:hAnsi="仿宋_GB2312" w:cs="仿宋_GB2312" w:eastAsia="仿宋_GB2312"/>
                <w:sz w:val="24"/>
                <w:color w:val="333333"/>
              </w:rPr>
              <w:t>2)灌水、排涝（10分）</w:t>
            </w:r>
          </w:p>
          <w:tbl>
            <w:tblPr>
              <w:tblBorders>
                <w:top w:val="none" w:color="000000" w:sz="4"/>
                <w:left w:val="none" w:color="000000" w:sz="4"/>
                <w:bottom w:val="none" w:color="000000" w:sz="4"/>
                <w:right w:val="none" w:color="000000" w:sz="4"/>
                <w:insideH w:val="none"/>
                <w:insideV w:val="none"/>
              </w:tblBorders>
            </w:tblPr>
            <w:tblGrid>
              <w:gridCol w:w="211"/>
              <w:gridCol w:w="959"/>
              <w:gridCol w:w="1382"/>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标准</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干旱时及时浇水并灌足灌透，洪涝时及时排放积水。</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未及时浇水扣</w:t>
                  </w:r>
                  <w:r>
                    <w:rPr>
                      <w:rFonts w:ascii="仿宋_GB2312" w:hAnsi="仿宋_GB2312" w:cs="仿宋_GB2312" w:eastAsia="仿宋_GB2312"/>
                      <w:sz w:val="24"/>
                      <w:color w:val="333333"/>
                    </w:rPr>
                    <w:t>1分，浇水未浇透扣0.5分；造成苗木干旱甚至死亡的，每株扣</w:t>
                  </w:r>
                  <w:r>
                    <w:rPr>
                      <w:rFonts w:ascii="仿宋_GB2312" w:hAnsi="仿宋_GB2312" w:cs="仿宋_GB2312" w:eastAsia="仿宋_GB2312"/>
                      <w:sz w:val="24"/>
                      <w:color w:val="333333"/>
                    </w:rPr>
                    <w:t>1</w:t>
                  </w:r>
                  <w:r>
                    <w:rPr>
                      <w:rFonts w:ascii="仿宋_GB2312" w:hAnsi="仿宋_GB2312" w:cs="仿宋_GB2312" w:eastAsia="仿宋_GB2312"/>
                      <w:sz w:val="24"/>
                      <w:color w:val="333333"/>
                    </w:rPr>
                    <w:t>分；浇水人员操作不规范，导致绿化池水越池冲至路面等，发现</w:t>
                  </w:r>
                  <w:r>
                    <w:rPr>
                      <w:rFonts w:ascii="仿宋_GB2312" w:hAnsi="仿宋_GB2312" w:cs="仿宋_GB2312" w:eastAsia="仿宋_GB2312"/>
                      <w:sz w:val="24"/>
                      <w:color w:val="333333"/>
                    </w:rPr>
                    <w:t>1次扣</w:t>
                  </w:r>
                  <w:r>
                    <w:rPr>
                      <w:rFonts w:ascii="仿宋_GB2312" w:hAnsi="仿宋_GB2312" w:cs="仿宋_GB2312" w:eastAsia="仿宋_GB2312"/>
                      <w:sz w:val="24"/>
                      <w:color w:val="333333"/>
                    </w:rPr>
                    <w:t>1</w:t>
                  </w:r>
                  <w:r>
                    <w:rPr>
                      <w:rFonts w:ascii="仿宋_GB2312" w:hAnsi="仿宋_GB2312" w:cs="仿宋_GB2312" w:eastAsia="仿宋_GB2312"/>
                      <w:sz w:val="24"/>
                      <w:color w:val="333333"/>
                    </w:rPr>
                    <w:t>分；水车浇水将绿地内泥土被冲至路面等，发现</w:t>
                  </w:r>
                  <w:r>
                    <w:rPr>
                      <w:rFonts w:ascii="仿宋_GB2312" w:hAnsi="仿宋_GB2312" w:cs="仿宋_GB2312" w:eastAsia="仿宋_GB2312"/>
                      <w:sz w:val="24"/>
                      <w:color w:val="333333"/>
                    </w:rPr>
                    <w:t>1次扣</w:t>
                  </w:r>
                  <w:r>
                    <w:rPr>
                      <w:rFonts w:ascii="仿宋_GB2312" w:hAnsi="仿宋_GB2312" w:cs="仿宋_GB2312" w:eastAsia="仿宋_GB2312"/>
                      <w:sz w:val="24"/>
                      <w:color w:val="333333"/>
                    </w:rPr>
                    <w:t>1</w:t>
                  </w:r>
                  <w:r>
                    <w:rPr>
                      <w:rFonts w:ascii="仿宋_GB2312" w:hAnsi="仿宋_GB2312" w:cs="仿宋_GB2312" w:eastAsia="仿宋_GB2312"/>
                      <w:sz w:val="24"/>
                      <w:color w:val="333333"/>
                    </w:rPr>
                    <w:t>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在雨季应采用开沟、打孔等排水措施及时对绿地和树池排涝，防止植物因涝致死。绿地和树池内积水不得超过</w:t>
                  </w:r>
                  <w:r>
                    <w:rPr>
                      <w:rFonts w:ascii="仿宋_GB2312" w:hAnsi="仿宋_GB2312" w:cs="仿宋_GB2312" w:eastAsia="仿宋_GB2312"/>
                      <w:sz w:val="24"/>
                      <w:color w:val="333333"/>
                    </w:rPr>
                    <w:t>24小时。</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未按要求及时排涝造成苗木枯黄的，每</w:t>
                  </w:r>
                  <w:r>
                    <w:rPr>
                      <w:rFonts w:ascii="仿宋_GB2312" w:hAnsi="仿宋_GB2312" w:cs="仿宋_GB2312" w:eastAsia="仿宋_GB2312"/>
                      <w:sz w:val="24"/>
                      <w:color w:val="333333"/>
                    </w:rPr>
                    <w:t>处</w:t>
                  </w:r>
                  <w:r>
                    <w:rPr>
                      <w:rFonts w:ascii="仿宋_GB2312" w:hAnsi="仿宋_GB2312" w:cs="仿宋_GB2312" w:eastAsia="仿宋_GB2312"/>
                      <w:sz w:val="24"/>
                      <w:color w:val="333333"/>
                    </w:rPr>
                    <w:t>扣</w:t>
                  </w:r>
                  <w:r>
                    <w:rPr>
                      <w:rFonts w:ascii="仿宋_GB2312" w:hAnsi="仿宋_GB2312" w:cs="仿宋_GB2312" w:eastAsia="仿宋_GB2312"/>
                      <w:sz w:val="24"/>
                      <w:color w:val="333333"/>
                    </w:rPr>
                    <w:t>0.</w:t>
                  </w:r>
                  <w:r>
                    <w:rPr>
                      <w:rFonts w:ascii="仿宋_GB2312" w:hAnsi="仿宋_GB2312" w:cs="仿宋_GB2312" w:eastAsia="仿宋_GB2312"/>
                      <w:sz w:val="24"/>
                      <w:color w:val="333333"/>
                    </w:rPr>
                    <w:t>5</w:t>
                  </w:r>
                  <w:r>
                    <w:rPr>
                      <w:rFonts w:ascii="仿宋_GB2312" w:hAnsi="仿宋_GB2312" w:cs="仿宋_GB2312" w:eastAsia="仿宋_GB2312"/>
                      <w:sz w:val="24"/>
                      <w:color w:val="333333"/>
                    </w:rPr>
                    <w:t>分；造成苗木死亡的每</w:t>
                  </w:r>
                  <w:r>
                    <w:rPr>
                      <w:rFonts w:ascii="仿宋_GB2312" w:hAnsi="仿宋_GB2312" w:cs="仿宋_GB2312" w:eastAsia="仿宋_GB2312"/>
                      <w:sz w:val="24"/>
                      <w:color w:val="333333"/>
                    </w:rPr>
                    <w:t>处</w:t>
                  </w:r>
                  <w:r>
                    <w:rPr>
                      <w:rFonts w:ascii="仿宋_GB2312" w:hAnsi="仿宋_GB2312" w:cs="仿宋_GB2312" w:eastAsia="仿宋_GB2312"/>
                      <w:sz w:val="24"/>
                      <w:color w:val="333333"/>
                    </w:rPr>
                    <w:t>扣</w:t>
                  </w:r>
                  <w:r>
                    <w:rPr>
                      <w:rFonts w:ascii="仿宋_GB2312" w:hAnsi="仿宋_GB2312" w:cs="仿宋_GB2312" w:eastAsia="仿宋_GB2312"/>
                      <w:sz w:val="24"/>
                      <w:color w:val="333333"/>
                    </w:rPr>
                    <w:t>1</w:t>
                  </w:r>
                  <w:r>
                    <w:rPr>
                      <w:rFonts w:ascii="仿宋_GB2312" w:hAnsi="仿宋_GB2312" w:cs="仿宋_GB2312" w:eastAsia="仿宋_GB2312"/>
                      <w:sz w:val="24"/>
                      <w:color w:val="333333"/>
                    </w:rPr>
                    <w:t>分</w:t>
                  </w:r>
                  <w:r>
                    <w:rPr>
                      <w:rFonts w:ascii="仿宋_GB2312" w:hAnsi="仿宋_GB2312" w:cs="仿宋_GB2312" w:eastAsia="仿宋_GB2312"/>
                      <w:sz w:val="24"/>
                      <w:color w:val="333333"/>
                    </w:rPr>
                    <w:t>。</w:t>
                  </w:r>
                </w:p>
              </w:tc>
            </w:tr>
          </w:tbl>
          <w:p>
            <w:pPr>
              <w:pStyle w:val="null5"/>
              <w:jc w:val="both"/>
            </w:pPr>
            <w:r>
              <w:rPr>
                <w:rFonts w:ascii="仿宋_GB2312" w:hAnsi="仿宋_GB2312" w:cs="仿宋_GB2312" w:eastAsia="仿宋_GB2312"/>
                <w:sz w:val="24"/>
                <w:color w:val="333333"/>
              </w:rPr>
              <w:t>3)</w:t>
            </w:r>
            <w:r>
              <w:rPr>
                <w:rFonts w:ascii="仿宋_GB2312" w:hAnsi="仿宋_GB2312" w:cs="仿宋_GB2312" w:eastAsia="仿宋_GB2312"/>
                <w:sz w:val="21"/>
              </w:rPr>
              <w:t xml:space="preserve"> </w:t>
            </w:r>
            <w:r>
              <w:rPr>
                <w:rFonts w:ascii="仿宋_GB2312" w:hAnsi="仿宋_GB2312" w:cs="仿宋_GB2312" w:eastAsia="仿宋_GB2312"/>
                <w:sz w:val="24"/>
                <w:color w:val="333333"/>
              </w:rPr>
              <w:t>中耕除草（</w:t>
            </w:r>
            <w:r>
              <w:rPr>
                <w:rFonts w:ascii="仿宋_GB2312" w:hAnsi="仿宋_GB2312" w:cs="仿宋_GB2312" w:eastAsia="仿宋_GB2312"/>
                <w:sz w:val="24"/>
                <w:color w:val="333333"/>
              </w:rPr>
              <w:t>10分）</w:t>
            </w:r>
          </w:p>
          <w:tbl>
            <w:tblPr>
              <w:tblBorders>
                <w:top w:val="none" w:color="000000" w:sz="4"/>
                <w:left w:val="none" w:color="000000" w:sz="4"/>
                <w:bottom w:val="none" w:color="000000" w:sz="4"/>
                <w:right w:val="none" w:color="000000" w:sz="4"/>
                <w:insideH w:val="none"/>
                <w:insideV w:val="none"/>
              </w:tblBorders>
            </w:tblPr>
            <w:tblGrid>
              <w:gridCol w:w="211"/>
              <w:gridCol w:w="959"/>
              <w:gridCol w:w="1382"/>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标准</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除杂草、修剪草坪原则上每两周</w:t>
                  </w:r>
                  <w:r>
                    <w:rPr>
                      <w:rFonts w:ascii="仿宋_GB2312" w:hAnsi="仿宋_GB2312" w:cs="仿宋_GB2312" w:eastAsia="仿宋_GB2312"/>
                      <w:sz w:val="24"/>
                      <w:color w:val="333333"/>
                    </w:rPr>
                    <w:t>1次，绿地内无阔叶杂草。</w:t>
                  </w: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绿地内有阔叶杂草清除不彻底的，发现一处有</w:t>
                  </w:r>
                  <w:r>
                    <w:rPr>
                      <w:rFonts w:ascii="仿宋_GB2312" w:hAnsi="仿宋_GB2312" w:cs="仿宋_GB2312" w:eastAsia="仿宋_GB2312"/>
                      <w:sz w:val="24"/>
                      <w:color w:val="333333"/>
                    </w:rPr>
                    <w:t>5平方米以下的扣0.2分，5平方米以上的扣0.5分，杂草基本未清除的扣</w:t>
                  </w:r>
                  <w:r>
                    <w:rPr>
                      <w:rFonts w:ascii="仿宋_GB2312" w:hAnsi="仿宋_GB2312" w:cs="仿宋_GB2312" w:eastAsia="仿宋_GB2312"/>
                      <w:sz w:val="24"/>
                      <w:color w:val="333333"/>
                    </w:rPr>
                    <w:t>5</w:t>
                  </w:r>
                  <w:r>
                    <w:rPr>
                      <w:rFonts w:ascii="仿宋_GB2312" w:hAnsi="仿宋_GB2312" w:cs="仿宋_GB2312" w:eastAsia="仿宋_GB2312"/>
                      <w:sz w:val="24"/>
                      <w:color w:val="333333"/>
                    </w:rPr>
                    <w:t>分；杂草清除后未及时隐埋或清运的，每发现一次扣</w:t>
                  </w:r>
                  <w:r>
                    <w:rPr>
                      <w:rFonts w:ascii="仿宋_GB2312" w:hAnsi="仿宋_GB2312" w:cs="仿宋_GB2312" w:eastAsia="仿宋_GB2312"/>
                      <w:sz w:val="24"/>
                      <w:color w:val="333333"/>
                    </w:rPr>
                    <w:t>0.2分。</w:t>
                  </w:r>
                </w:p>
              </w:tc>
            </w:tr>
          </w:tbl>
          <w:p>
            <w:pPr>
              <w:pStyle w:val="null5"/>
              <w:jc w:val="both"/>
            </w:pPr>
            <w:r>
              <w:rPr>
                <w:rFonts w:ascii="仿宋_GB2312" w:hAnsi="仿宋_GB2312" w:cs="仿宋_GB2312" w:eastAsia="仿宋_GB2312"/>
                <w:sz w:val="24"/>
                <w:color w:val="333333"/>
              </w:rPr>
              <w:t>4)</w:t>
            </w:r>
            <w:r>
              <w:rPr>
                <w:rFonts w:ascii="仿宋_GB2312" w:hAnsi="仿宋_GB2312" w:cs="仿宋_GB2312" w:eastAsia="仿宋_GB2312"/>
                <w:sz w:val="21"/>
              </w:rPr>
              <w:t xml:space="preserve"> </w:t>
            </w:r>
            <w:r>
              <w:rPr>
                <w:rFonts w:ascii="仿宋_GB2312" w:hAnsi="仿宋_GB2312" w:cs="仿宋_GB2312" w:eastAsia="仿宋_GB2312"/>
                <w:sz w:val="24"/>
                <w:color w:val="333333"/>
              </w:rPr>
              <w:t>施肥（</w:t>
            </w:r>
            <w:r>
              <w:rPr>
                <w:rFonts w:ascii="仿宋_GB2312" w:hAnsi="仿宋_GB2312" w:cs="仿宋_GB2312" w:eastAsia="仿宋_GB2312"/>
                <w:sz w:val="24"/>
                <w:color w:val="333333"/>
              </w:rPr>
              <w:t>10分）</w:t>
            </w:r>
          </w:p>
          <w:tbl>
            <w:tblPr>
              <w:tblBorders>
                <w:top w:val="none" w:color="000000" w:sz="4"/>
                <w:left w:val="none" w:color="000000" w:sz="4"/>
                <w:bottom w:val="none" w:color="000000" w:sz="4"/>
                <w:right w:val="none" w:color="000000" w:sz="4"/>
                <w:insideH w:val="none"/>
                <w:insideV w:val="none"/>
              </w:tblBorders>
            </w:tblPr>
            <w:tblGrid>
              <w:gridCol w:w="211"/>
              <w:gridCol w:w="967"/>
              <w:gridCol w:w="1374"/>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标准</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4月、7月季各施1次复合肥或碳铵，不得漏施、少施，乔木胸径5cm以下，每株每次0．25公斤；胸径5-10cm，每株每次0．5公斤；胸径10cm以上，每株每次0．75公斤。</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未按规定施肥的扣</w:t>
                  </w:r>
                  <w:r>
                    <w:rPr>
                      <w:rFonts w:ascii="仿宋_GB2312" w:hAnsi="仿宋_GB2312" w:cs="仿宋_GB2312" w:eastAsia="仿宋_GB2312"/>
                      <w:sz w:val="24"/>
                      <w:color w:val="333333"/>
                    </w:rPr>
                    <w:t>0.5分，漏施、少施等扣0.5分；管养小组施肥应通知园林局考核人员到场监督，否则扣0.5分。</w:t>
                  </w:r>
                </w:p>
              </w:tc>
            </w:tr>
          </w:tbl>
          <w:p>
            <w:pPr>
              <w:pStyle w:val="null5"/>
              <w:jc w:val="both"/>
            </w:pPr>
            <w:r>
              <w:rPr>
                <w:rFonts w:ascii="仿宋_GB2312" w:hAnsi="仿宋_GB2312" w:cs="仿宋_GB2312" w:eastAsia="仿宋_GB2312"/>
                <w:sz w:val="24"/>
                <w:color w:val="333333"/>
              </w:rPr>
              <w:t>5)</w:t>
            </w:r>
            <w:r>
              <w:rPr>
                <w:rFonts w:ascii="仿宋_GB2312" w:hAnsi="仿宋_GB2312" w:cs="仿宋_GB2312" w:eastAsia="仿宋_GB2312"/>
                <w:sz w:val="21"/>
              </w:rPr>
              <w:t xml:space="preserve"> </w:t>
            </w:r>
            <w:r>
              <w:rPr>
                <w:rFonts w:ascii="仿宋_GB2312" w:hAnsi="仿宋_GB2312" w:cs="仿宋_GB2312" w:eastAsia="仿宋_GB2312"/>
                <w:sz w:val="24"/>
                <w:color w:val="333333"/>
              </w:rPr>
              <w:t>防护（</w:t>
            </w:r>
            <w:r>
              <w:rPr>
                <w:rFonts w:ascii="仿宋_GB2312" w:hAnsi="仿宋_GB2312" w:cs="仿宋_GB2312" w:eastAsia="仿宋_GB2312"/>
                <w:sz w:val="24"/>
                <w:color w:val="333333"/>
              </w:rPr>
              <w:t>10分）</w:t>
            </w:r>
          </w:p>
          <w:tbl>
            <w:tblPr>
              <w:tblBorders>
                <w:top w:val="none" w:color="000000" w:sz="4"/>
                <w:left w:val="none" w:color="000000" w:sz="4"/>
                <w:bottom w:val="none" w:color="000000" w:sz="4"/>
                <w:right w:val="none" w:color="000000" w:sz="4"/>
                <w:insideH w:val="none"/>
                <w:insideV w:val="none"/>
              </w:tblBorders>
            </w:tblPr>
            <w:tblGrid>
              <w:gridCol w:w="211"/>
              <w:gridCol w:w="967"/>
              <w:gridCol w:w="1374"/>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标准</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冬季清除树下枯枝落叶杂草。</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冬季未及时清除枯枝落叶的，发现一</w:t>
                  </w:r>
                  <w:r>
                    <w:rPr>
                      <w:rFonts w:ascii="仿宋_GB2312" w:hAnsi="仿宋_GB2312" w:cs="仿宋_GB2312" w:eastAsia="仿宋_GB2312"/>
                      <w:sz w:val="24"/>
                      <w:color w:val="333333"/>
                    </w:rPr>
                    <w:t>处</w:t>
                  </w:r>
                  <w:r>
                    <w:rPr>
                      <w:rFonts w:ascii="仿宋_GB2312" w:hAnsi="仿宋_GB2312" w:cs="仿宋_GB2312" w:eastAsia="仿宋_GB2312"/>
                      <w:sz w:val="24"/>
                      <w:color w:val="333333"/>
                    </w:rPr>
                    <w:t>扣</w:t>
                  </w:r>
                  <w:r>
                    <w:rPr>
                      <w:rFonts w:ascii="仿宋_GB2312" w:hAnsi="仿宋_GB2312" w:cs="仿宋_GB2312" w:eastAsia="仿宋_GB2312"/>
                      <w:sz w:val="24"/>
                      <w:color w:val="333333"/>
                    </w:rPr>
                    <w:t>0.</w:t>
                  </w:r>
                  <w:r>
                    <w:rPr>
                      <w:rFonts w:ascii="仿宋_GB2312" w:hAnsi="仿宋_GB2312" w:cs="仿宋_GB2312" w:eastAsia="仿宋_GB2312"/>
                      <w:sz w:val="24"/>
                      <w:color w:val="333333"/>
                    </w:rPr>
                    <w:t>5</w:t>
                  </w:r>
                  <w:r>
                    <w:rPr>
                      <w:rFonts w:ascii="仿宋_GB2312" w:hAnsi="仿宋_GB2312" w:cs="仿宋_GB2312" w:eastAsia="仿宋_GB2312"/>
                      <w:sz w:val="24"/>
                      <w:color w:val="333333"/>
                    </w:rPr>
                    <w:t>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死亡的树木要及时进行清理和同品种、同规格补植。</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树木死亡没有及时清理的，每发现一处扣</w:t>
                  </w:r>
                  <w:r>
                    <w:rPr>
                      <w:rFonts w:ascii="仿宋_GB2312" w:hAnsi="仿宋_GB2312" w:cs="仿宋_GB2312" w:eastAsia="仿宋_GB2312"/>
                      <w:sz w:val="24"/>
                      <w:color w:val="333333"/>
                    </w:rPr>
                    <w:t>0.</w:t>
                  </w:r>
                  <w:r>
                    <w:rPr>
                      <w:rFonts w:ascii="仿宋_GB2312" w:hAnsi="仿宋_GB2312" w:cs="仿宋_GB2312" w:eastAsia="仿宋_GB2312"/>
                      <w:sz w:val="24"/>
                      <w:color w:val="333333"/>
                    </w:rPr>
                    <w:t>3</w:t>
                  </w:r>
                  <w:r>
                    <w:rPr>
                      <w:rFonts w:ascii="仿宋_GB2312" w:hAnsi="仿宋_GB2312" w:cs="仿宋_GB2312" w:eastAsia="仿宋_GB2312"/>
                      <w:sz w:val="24"/>
                      <w:color w:val="333333"/>
                    </w:rPr>
                    <w:t>分；未按要求适时补植同品种、同规格的，每发现</w:t>
                  </w:r>
                  <w:r>
                    <w:rPr>
                      <w:rFonts w:ascii="仿宋_GB2312" w:hAnsi="仿宋_GB2312" w:cs="仿宋_GB2312" w:eastAsia="仿宋_GB2312"/>
                      <w:sz w:val="24"/>
                      <w:color w:val="333333"/>
                    </w:rPr>
                    <w:t>1棵扣0.1分。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3</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因大风、大雨刮倒的树木要在风雨停后</w:t>
                  </w:r>
                  <w:r>
                    <w:rPr>
                      <w:rFonts w:ascii="仿宋_GB2312" w:hAnsi="仿宋_GB2312" w:cs="仿宋_GB2312" w:eastAsia="仿宋_GB2312"/>
                      <w:sz w:val="24"/>
                      <w:color w:val="333333"/>
                    </w:rPr>
                    <w:t>24小时内扶正、支撑并培土。</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树木刮风刮倒没有按时扶正，培土、浇水和搭支架的，每发现一株扣</w:t>
                  </w:r>
                  <w:r>
                    <w:rPr>
                      <w:rFonts w:ascii="仿宋_GB2312" w:hAnsi="仿宋_GB2312" w:cs="仿宋_GB2312" w:eastAsia="仿宋_GB2312"/>
                      <w:sz w:val="24"/>
                      <w:color w:val="333333"/>
                    </w:rPr>
                    <w:t>0.</w:t>
                  </w:r>
                  <w:r>
                    <w:rPr>
                      <w:rFonts w:ascii="仿宋_GB2312" w:hAnsi="仿宋_GB2312" w:cs="仿宋_GB2312" w:eastAsia="仿宋_GB2312"/>
                      <w:sz w:val="24"/>
                      <w:color w:val="333333"/>
                    </w:rPr>
                    <w:t>2</w:t>
                  </w:r>
                  <w:r>
                    <w:rPr>
                      <w:rFonts w:ascii="仿宋_GB2312" w:hAnsi="仿宋_GB2312" w:cs="仿宋_GB2312" w:eastAsia="仿宋_GB2312"/>
                      <w:sz w:val="24"/>
                      <w:color w:val="333333"/>
                    </w:rPr>
                    <w:t>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4</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因雨水冲刷、水车浇水等原因造成土方被冲刷、塌陷的，</w:t>
                  </w:r>
                  <w:r>
                    <w:rPr>
                      <w:rFonts w:ascii="仿宋_GB2312" w:hAnsi="仿宋_GB2312" w:cs="仿宋_GB2312" w:eastAsia="仿宋_GB2312"/>
                      <w:sz w:val="24"/>
                      <w:color w:val="333333"/>
                    </w:rPr>
                    <w:t>3天之内修缮完善。</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绿地内土方被冲刷、塌陷，或泥土外溢，没有按时修缯完整的，每发现一处扣</w:t>
                  </w:r>
                  <w:r>
                    <w:rPr>
                      <w:rFonts w:ascii="仿宋_GB2312" w:hAnsi="仿宋_GB2312" w:cs="仿宋_GB2312" w:eastAsia="仿宋_GB2312"/>
                      <w:sz w:val="24"/>
                      <w:color w:val="333333"/>
                    </w:rPr>
                    <w:t>0．2分。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5</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left="-90"/>
                    <w:jc w:val="both"/>
                  </w:pPr>
                  <w:r>
                    <w:rPr>
                      <w:rFonts w:ascii="仿宋_GB2312" w:hAnsi="仿宋_GB2312" w:cs="仿宋_GB2312" w:eastAsia="仿宋_GB2312"/>
                      <w:sz w:val="24"/>
                    </w:rPr>
                    <w:t>涂白均匀，上口平齐，高度距地面</w:t>
                  </w:r>
                  <w:r>
                    <w:rPr>
                      <w:rFonts w:ascii="仿宋_GB2312" w:hAnsi="仿宋_GB2312" w:cs="仿宋_GB2312" w:eastAsia="仿宋_GB2312"/>
                      <w:sz w:val="24"/>
                    </w:rPr>
                    <w:t>1.25米，整条道路涂白后上口应保持在同一水平线上。</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left="-90"/>
                    <w:jc w:val="both"/>
                  </w:pPr>
                  <w:r>
                    <w:rPr>
                      <w:rFonts w:ascii="仿宋_GB2312" w:hAnsi="仿宋_GB2312" w:cs="仿宋_GB2312" w:eastAsia="仿宋_GB2312"/>
                      <w:sz w:val="24"/>
                      <w:color w:val="333333"/>
                    </w:rPr>
                    <w:t>未及时涂白，或涂白不达标准，如上端口不整齐，树根部周围被涂白剂污染等，每发现一次扣</w:t>
                  </w:r>
                  <w:r>
                    <w:rPr>
                      <w:rFonts w:ascii="仿宋_GB2312" w:hAnsi="仿宋_GB2312" w:cs="仿宋_GB2312" w:eastAsia="仿宋_GB2312"/>
                      <w:sz w:val="24"/>
                      <w:color w:val="333333"/>
                    </w:rPr>
                    <w:t>0.5分。</w:t>
                  </w:r>
                </w:p>
              </w:tc>
            </w:tr>
          </w:tbl>
          <w:p>
            <w:pPr>
              <w:pStyle w:val="null5"/>
              <w:jc w:val="both"/>
            </w:pPr>
            <w:r>
              <w:rPr>
                <w:rFonts w:ascii="仿宋_GB2312" w:hAnsi="仿宋_GB2312" w:cs="仿宋_GB2312" w:eastAsia="仿宋_GB2312"/>
                <w:sz w:val="24"/>
                <w:color w:val="333333"/>
              </w:rPr>
              <w:t>6)保洁（5分）</w:t>
            </w:r>
          </w:p>
          <w:tbl>
            <w:tblPr>
              <w:tblBorders>
                <w:top w:val="none" w:color="000000" w:sz="4"/>
                <w:left w:val="none" w:color="000000" w:sz="4"/>
                <w:bottom w:val="none" w:color="000000" w:sz="4"/>
                <w:right w:val="none" w:color="000000" w:sz="4"/>
                <w:insideH w:val="none"/>
                <w:insideV w:val="none"/>
              </w:tblBorders>
            </w:tblPr>
            <w:tblGrid>
              <w:gridCol w:w="211"/>
              <w:gridCol w:w="963"/>
              <w:gridCol w:w="1378"/>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标准</w:t>
                  </w:r>
                </w:p>
              </w:tc>
              <w:tc>
                <w:tcPr>
                  <w:tcW w:type="dxa" w:w="1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1.绿地内无明显塑膜、纸屑、果皮、烟头、便迹、杂物，绿地保持清洁。</w:t>
                  </w:r>
                </w:p>
              </w:tc>
              <w:tc>
                <w:tcPr>
                  <w:tcW w:type="dxa" w:w="1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发现绿地内一处明显杂物扣</w:t>
                  </w:r>
                  <w:r>
                    <w:rPr>
                      <w:rFonts w:ascii="仿宋_GB2312" w:hAnsi="仿宋_GB2312" w:cs="仿宋_GB2312" w:eastAsia="仿宋_GB2312"/>
                      <w:sz w:val="24"/>
                      <w:color w:val="333333"/>
                    </w:rPr>
                    <w:t>0.05分。</w:t>
                  </w:r>
                </w:p>
              </w:tc>
            </w:tr>
          </w:tbl>
          <w:p>
            <w:pPr>
              <w:pStyle w:val="null5"/>
              <w:jc w:val="both"/>
            </w:pPr>
            <w:r>
              <w:rPr>
                <w:rFonts w:ascii="仿宋_GB2312" w:hAnsi="仿宋_GB2312" w:cs="仿宋_GB2312" w:eastAsia="仿宋_GB2312"/>
                <w:sz w:val="24"/>
                <w:color w:val="333333"/>
              </w:rPr>
              <w:t>7）管理（10分）</w:t>
            </w:r>
          </w:p>
          <w:tbl>
            <w:tblPr>
              <w:tblBorders>
                <w:top w:val="none" w:color="000000" w:sz="4"/>
                <w:left w:val="none" w:color="000000" w:sz="4"/>
                <w:bottom w:val="none" w:color="000000" w:sz="4"/>
                <w:right w:val="none" w:color="000000" w:sz="4"/>
                <w:insideH w:val="none"/>
                <w:insideV w:val="none"/>
              </w:tblBorders>
            </w:tblPr>
            <w:tblGrid>
              <w:gridCol w:w="211"/>
              <w:gridCol w:w="967"/>
              <w:gridCol w:w="1374"/>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管护标准</w:t>
                  </w:r>
                </w:p>
              </w:tc>
              <w:tc>
                <w:tcPr>
                  <w:tcW w:type="dxa" w:w="1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花坛、护栏、树穴侧石等设施，经常维护，无破损残缺。</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发现亭、廊平台刻、划一处扣</w:t>
                  </w:r>
                  <w:r>
                    <w:rPr>
                      <w:rFonts w:ascii="仿宋_GB2312" w:hAnsi="仿宋_GB2312" w:cs="仿宋_GB2312" w:eastAsia="仿宋_GB2312"/>
                      <w:sz w:val="24"/>
                      <w:color w:val="333333"/>
                    </w:rPr>
                    <w:t>0.2分；油漆脱落一处扣0.5分。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园灯、园路、园林小品、标牌等设施完善，整洁无破损，喷泉设施完好，设施不得无故减少，不得随意变动。</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发现破损不及时修复一处扣</w:t>
                  </w:r>
                  <w:r>
                    <w:rPr>
                      <w:rFonts w:ascii="仿宋_GB2312" w:hAnsi="仿宋_GB2312" w:cs="仿宋_GB2312" w:eastAsia="仿宋_GB2312"/>
                      <w:sz w:val="24"/>
                      <w:color w:val="333333"/>
                    </w:rPr>
                    <w:t>0.5分；设施减少一处扣1分；节日等特定时期不能如期运行视其情节一处扣1分；随意变动１处扣0.5分；绿地内（包括行道树）及附属设施表面存在人为喷涂、贴画、悬挂、放置字迹或宣传品等行为，未及时清除的每处扣0.5分；苗木上存在栓绳挂物、铁丝捆扎、压占晾晒等破坏伤害苗木行为未及时制止和清理的每处扣0.5分；绿地内存在种植农作物、蔬菜等未清理的每处扣0.5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3</w:t>
                  </w:r>
                </w:p>
              </w:tc>
              <w:tc>
                <w:tcPr>
                  <w:tcW w:type="dxa" w:w="9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加强巡查，及时发现损绿毁绿行为并及时制止、处理和报告。对于已办理占用绿地许可的，对照许可内容做好跟踪管理。</w:t>
                  </w:r>
                </w:p>
              </w:tc>
              <w:tc>
                <w:tcPr>
                  <w:tcW w:type="dxa" w:w="1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发生未经审批私自开口破坏占用绿地、砍伐挪移苗木等非法占用破坏绿地行为，养护小组未先行阻止并未及时上报巡查组的每起扣</w:t>
                  </w:r>
                  <w:r>
                    <w:rPr>
                      <w:rFonts w:ascii="仿宋_GB2312" w:hAnsi="仿宋_GB2312" w:cs="仿宋_GB2312" w:eastAsia="仿宋_GB2312"/>
                      <w:sz w:val="24"/>
                      <w:color w:val="333333"/>
                    </w:rPr>
                    <w:t>2分（超过2小时）；因阻止不力造成破坏的每起扣2分；因交通肇事破坏绿地苗木未及时上报巡查组的每起扣1分（超过2小时）；养护小组擅自处理放行的每起扣</w:t>
                  </w:r>
                  <w:r>
                    <w:rPr>
                      <w:rFonts w:ascii="仿宋_GB2312" w:hAnsi="仿宋_GB2312" w:cs="仿宋_GB2312" w:eastAsia="仿宋_GB2312"/>
                      <w:sz w:val="24"/>
                      <w:color w:val="333333"/>
                    </w:rPr>
                    <w:t>10</w:t>
                  </w:r>
                  <w:r>
                    <w:rPr>
                      <w:rFonts w:ascii="仿宋_GB2312" w:hAnsi="仿宋_GB2312" w:cs="仿宋_GB2312" w:eastAsia="仿宋_GB2312"/>
                      <w:sz w:val="24"/>
                      <w:color w:val="333333"/>
                    </w:rPr>
                    <w:t>分；并按市场价赔偿苗木价款，发现在绿地内焚烧垃圾的每处扣</w:t>
                  </w:r>
                  <w:r>
                    <w:rPr>
                      <w:rFonts w:ascii="仿宋_GB2312" w:hAnsi="仿宋_GB2312" w:cs="仿宋_GB2312" w:eastAsia="仿宋_GB2312"/>
                      <w:sz w:val="24"/>
                      <w:color w:val="333333"/>
                    </w:rPr>
                    <w:t>0.5分；因燃烧易燃物发生火灾造成苗木损失的每处扣1-5分，损失严重的加倍扣分，并按市场价赔偿苗木价款。</w:t>
                  </w:r>
                </w:p>
              </w:tc>
            </w:tr>
          </w:tbl>
          <w:p>
            <w:pPr>
              <w:pStyle w:val="null5"/>
              <w:jc w:val="both"/>
            </w:pPr>
            <w:r>
              <w:rPr>
                <w:rFonts w:ascii="仿宋_GB2312" w:hAnsi="仿宋_GB2312" w:cs="仿宋_GB2312" w:eastAsia="仿宋_GB2312"/>
                <w:sz w:val="28"/>
                <w:b/>
                <w:color w:val="333333"/>
              </w:rPr>
              <w:t>(</w:t>
            </w:r>
            <w:r>
              <w:rPr>
                <w:rFonts w:ascii="仿宋_GB2312" w:hAnsi="仿宋_GB2312" w:cs="仿宋_GB2312" w:eastAsia="仿宋_GB2312"/>
                <w:sz w:val="28"/>
                <w:b/>
                <w:color w:val="333333"/>
              </w:rPr>
              <w:t>二</w:t>
            </w:r>
            <w:r>
              <w:rPr>
                <w:rFonts w:ascii="仿宋_GB2312" w:hAnsi="仿宋_GB2312" w:cs="仿宋_GB2312" w:eastAsia="仿宋_GB2312"/>
                <w:sz w:val="28"/>
                <w:b/>
                <w:color w:val="333333"/>
              </w:rPr>
              <w:t>)</w:t>
            </w:r>
            <w:r>
              <w:rPr>
                <w:rFonts w:ascii="仿宋_GB2312" w:hAnsi="仿宋_GB2312" w:cs="仿宋_GB2312" w:eastAsia="仿宋_GB2312"/>
                <w:sz w:val="28"/>
                <w:b/>
                <w:color w:val="333333"/>
              </w:rPr>
              <w:t>安全管理及文明作业（</w:t>
            </w:r>
            <w:r>
              <w:rPr>
                <w:rFonts w:ascii="仿宋_GB2312" w:hAnsi="仿宋_GB2312" w:cs="仿宋_GB2312" w:eastAsia="仿宋_GB2312"/>
                <w:sz w:val="28"/>
                <w:b/>
                <w:color w:val="333333"/>
              </w:rPr>
              <w:t>10分）</w:t>
            </w:r>
          </w:p>
          <w:tbl>
            <w:tblPr>
              <w:tblBorders>
                <w:top w:val="none" w:color="000000" w:sz="4"/>
                <w:left w:val="none" w:color="000000" w:sz="4"/>
                <w:bottom w:val="none" w:color="000000" w:sz="4"/>
                <w:right w:val="none" w:color="000000" w:sz="4"/>
                <w:insideH w:val="none"/>
                <w:insideV w:val="none"/>
              </w:tblBorders>
            </w:tblPr>
            <w:tblGrid>
              <w:gridCol w:w="211"/>
              <w:gridCol w:w="971"/>
              <w:gridCol w:w="1370"/>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安全管理及文明作业要求</w:t>
                  </w:r>
                </w:p>
              </w:tc>
              <w:tc>
                <w:tcPr>
                  <w:tcW w:type="dxa" w:w="1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安全管理制度健全，责任落实，严格按照制定的安全规程作业。</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达不到要求每次扣</w:t>
                  </w:r>
                  <w:r>
                    <w:rPr>
                      <w:rFonts w:ascii="仿宋_GB2312" w:hAnsi="仿宋_GB2312" w:cs="仿宋_GB2312" w:eastAsia="仿宋_GB2312"/>
                      <w:sz w:val="24"/>
                      <w:color w:val="333333"/>
                    </w:rPr>
                    <w:t>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提倡文明生产作业，礼貌用语，不与居民、行人争吵。</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达不到要求每次扣</w:t>
                  </w:r>
                  <w:r>
                    <w:rPr>
                      <w:rFonts w:ascii="仿宋_GB2312" w:hAnsi="仿宋_GB2312" w:cs="仿宋_GB2312" w:eastAsia="仿宋_GB2312"/>
                      <w:sz w:val="24"/>
                      <w:color w:val="333333"/>
                    </w:rPr>
                    <w:t>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3</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作业时统一着装，保证绿化小组（含协管员）全员在班作业。</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达不到要求每次扣</w:t>
                  </w:r>
                  <w:r>
                    <w:rPr>
                      <w:rFonts w:ascii="仿宋_GB2312" w:hAnsi="仿宋_GB2312" w:cs="仿宋_GB2312" w:eastAsia="仿宋_GB2312"/>
                      <w:sz w:val="24"/>
                      <w:color w:val="333333"/>
                    </w:rPr>
                    <w:t>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4</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做好突发情况后的安全工作，及时处理倒伏树木，确保道路畅通。</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不及时处理的每处每次扣</w:t>
                  </w:r>
                  <w:r>
                    <w:rPr>
                      <w:rFonts w:ascii="仿宋_GB2312" w:hAnsi="仿宋_GB2312" w:cs="仿宋_GB2312" w:eastAsia="仿宋_GB2312"/>
                      <w:sz w:val="24"/>
                      <w:color w:val="333333"/>
                    </w:rPr>
                    <w:t>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5</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加强安全管理，确保无事故。</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发生安全等级事故的，整个第二大项不得分。</w:t>
                  </w:r>
                </w:p>
              </w:tc>
            </w:tr>
          </w:tbl>
          <w:p>
            <w:pPr>
              <w:pStyle w:val="null5"/>
              <w:jc w:val="both"/>
            </w:pPr>
            <w:r>
              <w:rPr>
                <w:rFonts w:ascii="仿宋_GB2312" w:hAnsi="仿宋_GB2312" w:cs="仿宋_GB2312" w:eastAsia="仿宋_GB2312"/>
                <w:sz w:val="28"/>
                <w:b/>
                <w:color w:val="333333"/>
              </w:rPr>
              <w:t>(</w:t>
            </w:r>
            <w:r>
              <w:rPr>
                <w:rFonts w:ascii="仿宋_GB2312" w:hAnsi="仿宋_GB2312" w:cs="仿宋_GB2312" w:eastAsia="仿宋_GB2312"/>
                <w:sz w:val="28"/>
                <w:b/>
                <w:color w:val="333333"/>
              </w:rPr>
              <w:t>三</w:t>
            </w:r>
            <w:r>
              <w:rPr>
                <w:rFonts w:ascii="仿宋_GB2312" w:hAnsi="仿宋_GB2312" w:cs="仿宋_GB2312" w:eastAsia="仿宋_GB2312"/>
                <w:sz w:val="28"/>
                <w:b/>
                <w:color w:val="333333"/>
              </w:rPr>
              <w:t>)</w:t>
            </w:r>
            <w:r>
              <w:rPr>
                <w:rFonts w:ascii="仿宋_GB2312" w:hAnsi="仿宋_GB2312" w:cs="仿宋_GB2312" w:eastAsia="仿宋_GB2312"/>
                <w:sz w:val="28"/>
                <w:b/>
                <w:color w:val="333333"/>
              </w:rPr>
              <w:t>基础资料、台帐（</w:t>
            </w:r>
            <w:r>
              <w:rPr>
                <w:rFonts w:ascii="仿宋_GB2312" w:hAnsi="仿宋_GB2312" w:cs="仿宋_GB2312" w:eastAsia="仿宋_GB2312"/>
                <w:sz w:val="28"/>
                <w:b/>
                <w:color w:val="333333"/>
              </w:rPr>
              <w:t>10分）</w:t>
            </w:r>
          </w:p>
          <w:tbl>
            <w:tblPr>
              <w:tblBorders>
                <w:top w:val="none" w:color="000000" w:sz="4"/>
                <w:left w:val="none" w:color="000000" w:sz="4"/>
                <w:bottom w:val="none" w:color="000000" w:sz="4"/>
                <w:right w:val="none" w:color="000000" w:sz="4"/>
                <w:insideH w:val="none"/>
                <w:insideV w:val="none"/>
              </w:tblBorders>
            </w:tblPr>
            <w:tblGrid>
              <w:gridCol w:w="211"/>
              <w:gridCol w:w="971"/>
              <w:gridCol w:w="1370"/>
            </w:tblGrid>
            <w:tr>
              <w:tc>
                <w:tcPr>
                  <w:tcW w:type="dxa" w:w="2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333333"/>
                    </w:rPr>
                    <w:t>基础资料、台帐要求</w:t>
                  </w:r>
                </w:p>
              </w:tc>
              <w:tc>
                <w:tcPr>
                  <w:tcW w:type="dxa" w:w="1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1</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各类原始台帐、记录、报表齐全、准确，能按要求及时上报。</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达不到要求每次扣</w:t>
                  </w:r>
                  <w:r>
                    <w:rPr>
                      <w:rFonts w:ascii="仿宋_GB2312" w:hAnsi="仿宋_GB2312" w:cs="仿宋_GB2312" w:eastAsia="仿宋_GB2312"/>
                      <w:sz w:val="24"/>
                      <w:color w:val="333333"/>
                    </w:rPr>
                    <w:t>1分。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2</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每月</w:t>
                  </w:r>
                  <w:r>
                    <w:rPr>
                      <w:rFonts w:ascii="仿宋_GB2312" w:hAnsi="仿宋_GB2312" w:cs="仿宋_GB2312" w:eastAsia="仿宋_GB2312"/>
                      <w:sz w:val="24"/>
                      <w:color w:val="333333"/>
                    </w:rPr>
                    <w:t>30日前向园林绿化股报送当月绿化养护情况总结及下月绿化养护计划。</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达不到要求每次扣</w:t>
                  </w:r>
                  <w:r>
                    <w:rPr>
                      <w:rFonts w:ascii="仿宋_GB2312" w:hAnsi="仿宋_GB2312" w:cs="仿宋_GB2312" w:eastAsia="仿宋_GB2312"/>
                      <w:sz w:val="24"/>
                      <w:color w:val="333333"/>
                    </w:rPr>
                    <w:t>3分。</w:t>
                  </w:r>
                </w:p>
              </w:tc>
            </w:tr>
            <w:tr>
              <w:tc>
                <w:tcPr>
                  <w:tcW w:type="dxa" w:w="2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3</w:t>
                  </w: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每月</w:t>
                  </w:r>
                  <w:r>
                    <w:rPr>
                      <w:rFonts w:ascii="仿宋_GB2312" w:hAnsi="仿宋_GB2312" w:cs="仿宋_GB2312" w:eastAsia="仿宋_GB2312"/>
                      <w:sz w:val="24"/>
                      <w:color w:val="333333"/>
                    </w:rPr>
                    <w:t>30日前及时向考核主体单位报送安全台帐</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达不到要求每次扣</w:t>
                  </w:r>
                  <w:r>
                    <w:rPr>
                      <w:rFonts w:ascii="仿宋_GB2312" w:hAnsi="仿宋_GB2312" w:cs="仿宋_GB2312" w:eastAsia="仿宋_GB2312"/>
                      <w:sz w:val="24"/>
                      <w:color w:val="333333"/>
                    </w:rPr>
                    <w:t>3分。</w:t>
                  </w:r>
                </w:p>
              </w:tc>
            </w:tr>
          </w:tbl>
          <w:p>
            <w:pPr>
              <w:pStyle w:val="null5"/>
              <w:jc w:val="both"/>
            </w:pPr>
            <w:r>
              <w:rPr>
                <w:rFonts w:ascii="仿宋_GB2312" w:hAnsi="仿宋_GB2312" w:cs="仿宋_GB2312" w:eastAsia="仿宋_GB2312"/>
                <w:sz w:val="28"/>
                <w:b/>
                <w:color w:val="333333"/>
              </w:rPr>
              <w:t>(</w:t>
            </w:r>
            <w:r>
              <w:rPr>
                <w:rFonts w:ascii="仿宋_GB2312" w:hAnsi="仿宋_GB2312" w:cs="仿宋_GB2312" w:eastAsia="仿宋_GB2312"/>
                <w:sz w:val="28"/>
                <w:b/>
                <w:color w:val="333333"/>
              </w:rPr>
              <w:t>四</w:t>
            </w:r>
            <w:r>
              <w:rPr>
                <w:rFonts w:ascii="仿宋_GB2312" w:hAnsi="仿宋_GB2312" w:cs="仿宋_GB2312" w:eastAsia="仿宋_GB2312"/>
                <w:sz w:val="28"/>
                <w:b/>
                <w:color w:val="333333"/>
              </w:rPr>
              <w:t>)</w:t>
            </w:r>
            <w:r>
              <w:rPr>
                <w:rFonts w:ascii="仿宋_GB2312" w:hAnsi="仿宋_GB2312" w:cs="仿宋_GB2312" w:eastAsia="仿宋_GB2312"/>
                <w:sz w:val="28"/>
                <w:b/>
                <w:color w:val="333333"/>
              </w:rPr>
              <w:t>完成交办事项（</w:t>
            </w:r>
            <w:r>
              <w:rPr>
                <w:rFonts w:ascii="仿宋_GB2312" w:hAnsi="仿宋_GB2312" w:cs="仿宋_GB2312" w:eastAsia="仿宋_GB2312"/>
                <w:sz w:val="28"/>
                <w:b/>
                <w:color w:val="333333"/>
              </w:rPr>
              <w:t>5分）</w:t>
            </w:r>
          </w:p>
          <w:tbl>
            <w:tblPr>
              <w:tblBorders>
                <w:top w:val="none" w:color="000000" w:sz="4"/>
                <w:left w:val="none" w:color="000000" w:sz="4"/>
                <w:bottom w:val="none" w:color="000000" w:sz="4"/>
                <w:right w:val="none" w:color="000000" w:sz="4"/>
                <w:insideH w:val="none"/>
                <w:insideV w:val="none"/>
              </w:tblBorders>
            </w:tblPr>
            <w:tblGrid>
              <w:gridCol w:w="212"/>
              <w:gridCol w:w="961"/>
              <w:gridCol w:w="1380"/>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序号</w:t>
                  </w:r>
                </w:p>
              </w:tc>
              <w:tc>
                <w:tcPr>
                  <w:tcW w:type="dxa" w:w="9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8"/>
                      <w:b/>
                      <w:color w:val="333333"/>
                    </w:rPr>
                    <w:t>要</w:t>
                  </w:r>
                  <w:r>
                    <w:rPr>
                      <w:rFonts w:ascii="仿宋_GB2312" w:hAnsi="仿宋_GB2312" w:cs="仿宋_GB2312" w:eastAsia="仿宋_GB2312"/>
                      <w:sz w:val="28"/>
                      <w:b/>
                      <w:color w:val="333333"/>
                    </w:rPr>
                    <w:t>求</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b/>
                      <w:color w:val="333333"/>
                    </w:rPr>
                    <w:t>扣分标准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1</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在规定时限内落实整改通知。</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对于各类交办在规定期间内不予落实或落实不到位的，每次扣</w:t>
                  </w:r>
                  <w:r>
                    <w:rPr>
                      <w:rFonts w:ascii="仿宋_GB2312" w:hAnsi="仿宋_GB2312" w:cs="仿宋_GB2312" w:eastAsia="仿宋_GB2312"/>
                      <w:sz w:val="24"/>
                      <w:color w:val="333333"/>
                    </w:rPr>
                    <w:t>5分。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2</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节假日及创建等全旗重大活动期间，应积极做好各项工作，并完成各项交办任务。</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节假日及创建等全市重大活动期间，因养护不到位或不及时完成各项交办任务，造成不良影响的每次扣</w:t>
                  </w:r>
                  <w:r>
                    <w:rPr>
                      <w:rFonts w:ascii="仿宋_GB2312" w:hAnsi="仿宋_GB2312" w:cs="仿宋_GB2312" w:eastAsia="仿宋_GB2312"/>
                      <w:sz w:val="24"/>
                      <w:color w:val="333333"/>
                    </w:rPr>
                    <w:t>5分。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3</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新闻媒体曝光限时整改。</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凡新闻媒体曝光，市、局领导各类批示中提出批评，人大代表、政协委员等反映的园林管理问题，经查情况属实的，扣</w:t>
                  </w:r>
                  <w:r>
                    <w:rPr>
                      <w:rFonts w:ascii="仿宋_GB2312" w:hAnsi="仿宋_GB2312" w:cs="仿宋_GB2312" w:eastAsia="仿宋_GB2312"/>
                      <w:sz w:val="24"/>
                      <w:color w:val="333333"/>
                    </w:rPr>
                    <w:t>5分。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center"/>
                  </w:pPr>
                  <w:r>
                    <w:rPr>
                      <w:rFonts w:ascii="仿宋_GB2312" w:hAnsi="仿宋_GB2312" w:cs="仿宋_GB2312" w:eastAsia="仿宋_GB2312"/>
                      <w:sz w:val="24"/>
                      <w:color w:val="333333"/>
                    </w:rPr>
                    <w:t>4</w:t>
                  </w:r>
                </w:p>
              </w:tc>
              <w:tc>
                <w:tcPr>
                  <w:tcW w:type="dxa" w:w="9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color w:val="333333"/>
                    </w:rPr>
                    <w:t>新闻媒体曝光表扬嘉奖。</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4"/>
                    </w:rPr>
                    <w:t>对于新闻媒体、市、局领导批示中提出表扬嘉奖的，加</w:t>
                  </w:r>
                  <w:r>
                    <w:rPr>
                      <w:rFonts w:ascii="仿宋_GB2312" w:hAnsi="仿宋_GB2312" w:cs="仿宋_GB2312" w:eastAsia="仿宋_GB2312"/>
                      <w:sz w:val="24"/>
                    </w:rPr>
                    <w:t>5分。</w:t>
                  </w:r>
                </w:p>
              </w:tc>
            </w:tr>
          </w:tbl>
          <w:p>
            <w:pPr>
              <w:pStyle w:val="null5"/>
              <w:ind w:firstLine="602"/>
              <w:jc w:val="both"/>
            </w:pPr>
            <w:r>
              <w:rPr>
                <w:rFonts w:ascii="仿宋_GB2312" w:hAnsi="仿宋_GB2312" w:cs="仿宋_GB2312" w:eastAsia="仿宋_GB2312"/>
                <w:sz w:val="30"/>
                <w:b/>
              </w:rPr>
              <w:t>五、检查考核方式</w:t>
            </w:r>
          </w:p>
          <w:p>
            <w:pPr>
              <w:pStyle w:val="null5"/>
              <w:ind w:firstLine="480"/>
              <w:jc w:val="both"/>
            </w:pPr>
            <w:r>
              <w:rPr>
                <w:rFonts w:ascii="仿宋_GB2312" w:hAnsi="仿宋_GB2312" w:cs="仿宋_GB2312" w:eastAsia="仿宋_GB2312"/>
                <w:sz w:val="24"/>
              </w:rPr>
              <w:t>月成绩</w:t>
            </w:r>
            <w:r>
              <w:rPr>
                <w:rFonts w:ascii="仿宋_GB2312" w:hAnsi="仿宋_GB2312" w:cs="仿宋_GB2312" w:eastAsia="仿宋_GB2312"/>
                <w:sz w:val="24"/>
              </w:rPr>
              <w:t>95分以上视为优秀，拨付当月全部承包费，月成绩95-80分（含80分）视为合格，扣除当月承包费10%，连续两个月80分以下视为不合格，扣除当月50%承包费，企业不得将所承揽业务对外分包，否则扣除合同内所有承包费，并与中标签订解除合同，所有后果由承包单位负责。</w:t>
            </w:r>
          </w:p>
        </w:tc>
      </w:tr>
    </w:tbl>
    <w:p>
      <w:pPr>
        <w:pStyle w:val="null5"/>
        <w:jc w:val="left"/>
      </w:pPr>
      <w:r>
        <w:rPr>
          <w:rFonts w:ascii="仿宋_GB2312" w:hAnsi="仿宋_GB2312" w:cs="仿宋_GB2312" w:eastAsia="仿宋_GB2312"/>
        </w:rPr>
        <w:t>标的名称：乌拉特后旗工业园区及呼和温都尔镇城区环卫保洁、市政维护服务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center"/>
              <w:outlineLvl w:val="0"/>
            </w:pPr>
            <w:r>
              <w:rPr>
                <w:rFonts w:ascii="仿宋_GB2312" w:hAnsi="仿宋_GB2312" w:cs="仿宋_GB2312" w:eastAsia="仿宋_GB2312"/>
                <w:sz w:val="44"/>
                <w:b/>
              </w:rPr>
              <w:t>镇城区环卫保洁、市政维护服务考核办法</w:t>
            </w:r>
          </w:p>
          <w:p>
            <w:pPr>
              <w:pStyle w:val="null5"/>
              <w:ind w:firstLine="640"/>
              <w:jc w:val="both"/>
            </w:pPr>
            <w:r>
              <w:rPr>
                <w:rFonts w:ascii="仿宋_GB2312" w:hAnsi="仿宋_GB2312" w:cs="仿宋_GB2312" w:eastAsia="仿宋_GB2312"/>
                <w:sz w:val="32"/>
              </w:rPr>
              <w:t>为巩固</w:t>
            </w:r>
            <w:r>
              <w:rPr>
                <w:rFonts w:ascii="仿宋_GB2312" w:hAnsi="仿宋_GB2312" w:cs="仿宋_GB2312" w:eastAsia="仿宋_GB2312"/>
                <w:sz w:val="32"/>
              </w:rPr>
              <w:t>“国家卫生</w:t>
            </w:r>
            <w:r>
              <w:rPr>
                <w:rFonts w:ascii="仿宋_GB2312" w:hAnsi="仿宋_GB2312" w:cs="仿宋_GB2312" w:eastAsia="仿宋_GB2312"/>
                <w:sz w:val="32"/>
              </w:rPr>
              <w:t>旗县城</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自治区文明旗县城</w:t>
            </w:r>
            <w:r>
              <w:rPr>
                <w:rFonts w:ascii="仿宋_GB2312" w:hAnsi="仿宋_GB2312" w:cs="仿宋_GB2312" w:eastAsia="仿宋_GB2312"/>
                <w:sz w:val="32"/>
              </w:rPr>
              <w:t>”</w:t>
            </w:r>
            <w:r>
              <w:rPr>
                <w:rFonts w:ascii="仿宋_GB2312" w:hAnsi="仿宋_GB2312" w:cs="仿宋_GB2312" w:eastAsia="仿宋_GB2312"/>
                <w:sz w:val="32"/>
              </w:rPr>
              <w:t>创建成果，推进环卫作业市场化，充分发挥政府服务、监督和管理的职能，明确考核宗旨、规范考核程序、落实</w:t>
            </w:r>
            <w:r>
              <w:rPr>
                <w:rFonts w:ascii="仿宋_GB2312" w:hAnsi="仿宋_GB2312" w:cs="仿宋_GB2312" w:eastAsia="仿宋_GB2312"/>
                <w:sz w:val="32"/>
              </w:rPr>
              <w:t>环卫工作劳务</w:t>
            </w:r>
            <w:r>
              <w:rPr>
                <w:rFonts w:ascii="仿宋_GB2312" w:hAnsi="仿宋_GB2312" w:cs="仿宋_GB2312" w:eastAsia="仿宋_GB2312"/>
                <w:sz w:val="32"/>
              </w:rPr>
              <w:t>外包</w:t>
            </w:r>
            <w:r>
              <w:rPr>
                <w:rFonts w:ascii="仿宋_GB2312" w:hAnsi="仿宋_GB2312" w:cs="仿宋_GB2312" w:eastAsia="仿宋_GB2312"/>
                <w:sz w:val="32"/>
              </w:rPr>
              <w:t>考核</w:t>
            </w:r>
            <w:r>
              <w:rPr>
                <w:rFonts w:ascii="仿宋_GB2312" w:hAnsi="仿宋_GB2312" w:cs="仿宋_GB2312" w:eastAsia="仿宋_GB2312"/>
                <w:sz w:val="32"/>
              </w:rPr>
              <w:t>制度，按照</w:t>
            </w:r>
            <w:r>
              <w:rPr>
                <w:rFonts w:ascii="仿宋_GB2312" w:hAnsi="仿宋_GB2312" w:cs="仿宋_GB2312" w:eastAsia="仿宋_GB2312"/>
                <w:sz w:val="32"/>
              </w:rPr>
              <w:t>“明确责任、强化管理，量化考核、按质付费，绩效管理、服务民生，公开透明、便于执行”的原则，进一步提升</w:t>
            </w:r>
            <w:r>
              <w:rPr>
                <w:rFonts w:ascii="仿宋_GB2312" w:hAnsi="仿宋_GB2312" w:cs="仿宋_GB2312" w:eastAsia="仿宋_GB2312"/>
                <w:sz w:val="32"/>
              </w:rPr>
              <w:t>工业园区环境卫生</w:t>
            </w:r>
            <w:r>
              <w:rPr>
                <w:rFonts w:ascii="仿宋_GB2312" w:hAnsi="仿宋_GB2312" w:cs="仿宋_GB2312" w:eastAsia="仿宋_GB2312"/>
                <w:sz w:val="32"/>
              </w:rPr>
              <w:t>水平，</w:t>
            </w:r>
            <w:r>
              <w:rPr>
                <w:rFonts w:ascii="仿宋_GB2312" w:hAnsi="仿宋_GB2312" w:cs="仿宋_GB2312" w:eastAsia="仿宋_GB2312"/>
                <w:sz w:val="32"/>
              </w:rPr>
              <w:t>营造干净、有序、优美的工作生活环境，结合园区实际，</w:t>
            </w:r>
            <w:r>
              <w:rPr>
                <w:rFonts w:ascii="仿宋_GB2312" w:hAnsi="仿宋_GB2312" w:cs="仿宋_GB2312" w:eastAsia="仿宋_GB2312"/>
                <w:sz w:val="32"/>
              </w:rPr>
              <w:t>制定本</w:t>
            </w:r>
            <w:r>
              <w:rPr>
                <w:rFonts w:ascii="仿宋_GB2312" w:hAnsi="仿宋_GB2312" w:cs="仿宋_GB2312" w:eastAsia="仿宋_GB2312"/>
                <w:sz w:val="32"/>
              </w:rPr>
              <w:t>考核办法</w:t>
            </w:r>
            <w:r>
              <w:rPr>
                <w:rFonts w:ascii="仿宋_GB2312" w:hAnsi="仿宋_GB2312" w:cs="仿宋_GB2312" w:eastAsia="仿宋_GB2312"/>
                <w:sz w:val="32"/>
              </w:rPr>
              <w:t>。</w:t>
            </w:r>
          </w:p>
          <w:p>
            <w:pPr>
              <w:pStyle w:val="null5"/>
              <w:ind w:firstLine="643"/>
              <w:jc w:val="both"/>
            </w:pPr>
            <w:r>
              <w:rPr>
                <w:rFonts w:ascii="仿宋_GB2312" w:hAnsi="仿宋_GB2312" w:cs="仿宋_GB2312" w:eastAsia="仿宋_GB2312"/>
                <w:sz w:val="32"/>
                <w:b/>
              </w:rPr>
              <w:t>一、考核主体及对象</w:t>
            </w:r>
          </w:p>
          <w:p>
            <w:pPr>
              <w:pStyle w:val="null5"/>
              <w:ind w:firstLine="640"/>
              <w:jc w:val="both"/>
            </w:pPr>
            <w:r>
              <w:rPr>
                <w:rFonts w:ascii="仿宋_GB2312" w:hAnsi="仿宋_GB2312" w:cs="仿宋_GB2312" w:eastAsia="仿宋_GB2312"/>
                <w:sz w:val="32"/>
              </w:rPr>
              <w:t>（一）考核主体：</w:t>
            </w:r>
            <w:r>
              <w:rPr>
                <w:rFonts w:ascii="仿宋_GB2312" w:hAnsi="仿宋_GB2312" w:cs="仿宋_GB2312" w:eastAsia="仿宋_GB2312"/>
                <w:sz w:val="32"/>
              </w:rPr>
              <w:t>内蒙古巴彦淖尔乌拉特后旗工业园区管理委员会</w:t>
            </w:r>
          </w:p>
          <w:p>
            <w:pPr>
              <w:pStyle w:val="null5"/>
              <w:ind w:firstLine="640"/>
              <w:jc w:val="both"/>
            </w:pPr>
            <w:r>
              <w:rPr>
                <w:rFonts w:ascii="仿宋_GB2312" w:hAnsi="仿宋_GB2312" w:cs="仿宋_GB2312" w:eastAsia="仿宋_GB2312"/>
                <w:sz w:val="32"/>
              </w:rPr>
              <w:t>（二）考核对象：</w:t>
            </w:r>
            <w:r>
              <w:rPr>
                <w:rFonts w:ascii="仿宋_GB2312" w:hAnsi="仿宋_GB2312" w:cs="仿宋_GB2312" w:eastAsia="仿宋_GB2312"/>
                <w:sz w:val="32"/>
              </w:rPr>
              <w:t>乌拉特后旗工业园区及呼和温都尔镇</w:t>
            </w:r>
            <w:r>
              <w:rPr>
                <w:rFonts w:ascii="仿宋_GB2312" w:hAnsi="仿宋_GB2312" w:cs="仿宋_GB2312" w:eastAsia="仿宋_GB2312"/>
                <w:sz w:val="32"/>
              </w:rPr>
              <w:t>2025-2026年绿化养护及环卫项目中标（成交）供应商</w:t>
            </w:r>
          </w:p>
          <w:p>
            <w:pPr>
              <w:pStyle w:val="null5"/>
              <w:ind w:firstLine="643"/>
              <w:jc w:val="both"/>
            </w:pPr>
            <w:r>
              <w:rPr>
                <w:rFonts w:ascii="仿宋_GB2312" w:hAnsi="仿宋_GB2312" w:cs="仿宋_GB2312" w:eastAsia="仿宋_GB2312"/>
                <w:sz w:val="32"/>
                <w:b/>
              </w:rPr>
              <w:t>二、考核范围及内容</w:t>
            </w:r>
          </w:p>
          <w:p>
            <w:pPr>
              <w:pStyle w:val="null5"/>
              <w:ind w:firstLine="640"/>
              <w:jc w:val="both"/>
            </w:pPr>
            <w:r>
              <w:rPr>
                <w:rFonts w:ascii="仿宋_GB2312" w:hAnsi="仿宋_GB2312" w:cs="仿宋_GB2312" w:eastAsia="仿宋_GB2312"/>
                <w:sz w:val="32"/>
              </w:rPr>
              <w:t>（一）考核范围</w:t>
            </w:r>
            <w:r>
              <w:rPr>
                <w:rFonts w:ascii="仿宋_GB2312" w:hAnsi="仿宋_GB2312" w:cs="仿宋_GB2312" w:eastAsia="仿宋_GB2312"/>
                <w:sz w:val="32"/>
              </w:rPr>
              <w:t>:311.5万平方米</w:t>
            </w:r>
          </w:p>
          <w:p>
            <w:pPr>
              <w:pStyle w:val="null5"/>
              <w:ind w:firstLine="640"/>
              <w:jc w:val="both"/>
            </w:pPr>
            <w:r>
              <w:rPr>
                <w:rFonts w:ascii="仿宋_GB2312" w:hAnsi="仿宋_GB2312" w:cs="仿宋_GB2312" w:eastAsia="仿宋_GB2312"/>
                <w:sz w:val="32"/>
              </w:rPr>
              <w:t>（二）考核内容</w:t>
            </w:r>
            <w:r>
              <w:rPr>
                <w:rFonts w:ascii="仿宋_GB2312" w:hAnsi="仿宋_GB2312" w:cs="仿宋_GB2312" w:eastAsia="仿宋_GB2312"/>
                <w:sz w:val="32"/>
              </w:rPr>
              <w:t>:</w:t>
            </w:r>
          </w:p>
          <w:p>
            <w:pPr>
              <w:pStyle w:val="null5"/>
              <w:ind w:firstLine="640"/>
              <w:jc w:val="both"/>
            </w:pPr>
            <w:r>
              <w:rPr>
                <w:rFonts w:ascii="仿宋_GB2312" w:hAnsi="仿宋_GB2312" w:cs="仿宋_GB2312" w:eastAsia="仿宋_GB2312"/>
                <w:sz w:val="32"/>
              </w:rPr>
              <w:t>1、环卫及市政维护面积311.5万平方米；</w:t>
            </w:r>
          </w:p>
          <w:p>
            <w:pPr>
              <w:pStyle w:val="null5"/>
              <w:ind w:firstLine="640"/>
              <w:jc w:val="both"/>
            </w:pPr>
            <w:r>
              <w:rPr>
                <w:rFonts w:ascii="仿宋_GB2312" w:hAnsi="仿宋_GB2312" w:cs="仿宋_GB2312" w:eastAsia="仿宋_GB2312"/>
                <w:sz w:val="32"/>
              </w:rPr>
              <w:t>2、垃圾收集转运及无害化填埋；</w:t>
            </w:r>
          </w:p>
          <w:p>
            <w:pPr>
              <w:pStyle w:val="null5"/>
              <w:ind w:firstLine="640"/>
              <w:jc w:val="both"/>
            </w:pPr>
            <w:r>
              <w:rPr>
                <w:rFonts w:ascii="仿宋_GB2312" w:hAnsi="仿宋_GB2312" w:cs="仿宋_GB2312" w:eastAsia="仿宋_GB2312"/>
                <w:sz w:val="32"/>
              </w:rPr>
              <w:t>3、上级部门及领导督办、公众监督的处理情况，包括上级部门和领导交办问题的处理情况、新闻媒体曝光、市民投诉等。</w:t>
            </w:r>
          </w:p>
          <w:p>
            <w:pPr>
              <w:pStyle w:val="null5"/>
              <w:ind w:firstLine="643"/>
              <w:jc w:val="both"/>
            </w:pPr>
            <w:r>
              <w:rPr>
                <w:rFonts w:ascii="仿宋_GB2312" w:hAnsi="仿宋_GB2312" w:cs="仿宋_GB2312" w:eastAsia="仿宋_GB2312"/>
                <w:sz w:val="32"/>
                <w:b/>
              </w:rPr>
              <w:t>三、考核方式</w:t>
            </w:r>
            <w:r>
              <w:rPr>
                <w:rFonts w:ascii="仿宋_GB2312" w:hAnsi="仿宋_GB2312" w:cs="仿宋_GB2312" w:eastAsia="仿宋_GB2312"/>
                <w:sz w:val="21"/>
              </w:rPr>
              <w:t xml:space="preserve"> </w:t>
            </w:r>
          </w:p>
          <w:p>
            <w:pPr>
              <w:pStyle w:val="null5"/>
              <w:ind w:firstLine="640"/>
              <w:jc w:val="both"/>
            </w:pPr>
            <w:r>
              <w:rPr>
                <w:rFonts w:ascii="仿宋_GB2312" w:hAnsi="仿宋_GB2312" w:cs="仿宋_GB2312" w:eastAsia="仿宋_GB2312"/>
                <w:sz w:val="32"/>
              </w:rPr>
              <w:t>（一）考核方法</w:t>
            </w:r>
          </w:p>
          <w:p>
            <w:pPr>
              <w:pStyle w:val="null5"/>
              <w:ind w:firstLine="640"/>
              <w:jc w:val="both"/>
            </w:pPr>
            <w:r>
              <w:rPr>
                <w:rFonts w:ascii="仿宋_GB2312" w:hAnsi="仿宋_GB2312" w:cs="仿宋_GB2312" w:eastAsia="仿宋_GB2312"/>
                <w:sz w:val="32"/>
              </w:rPr>
              <w:t>1、综合考核。每月组织一次综合考核。综合考核为定期通知考核，由乌后旗工业园区统一组织，考核人员由乌后旗工业园区相关科室组成，</w:t>
            </w:r>
            <w:r>
              <w:rPr>
                <w:rFonts w:ascii="仿宋_GB2312" w:hAnsi="仿宋_GB2312" w:cs="仿宋_GB2312" w:eastAsia="仿宋_GB2312"/>
                <w:sz w:val="32"/>
              </w:rPr>
              <w:t>考核对象</w:t>
            </w:r>
            <w:r>
              <w:rPr>
                <w:rFonts w:ascii="仿宋_GB2312" w:hAnsi="仿宋_GB2312" w:cs="仿宋_GB2312" w:eastAsia="仿宋_GB2312"/>
                <w:sz w:val="32"/>
              </w:rPr>
              <w:t>指派一名负责人陪同。</w:t>
            </w:r>
          </w:p>
          <w:p>
            <w:pPr>
              <w:pStyle w:val="null5"/>
              <w:ind w:firstLine="640"/>
              <w:jc w:val="both"/>
            </w:pPr>
            <w:r>
              <w:rPr>
                <w:rFonts w:ascii="仿宋_GB2312" w:hAnsi="仿宋_GB2312" w:cs="仿宋_GB2312" w:eastAsia="仿宋_GB2312"/>
                <w:sz w:val="32"/>
              </w:rPr>
              <w:t>2、日常督查考核。由乌后旗工业园区每天安排专人对外包劳务工作进行日常督查考核，对检查中发现的问题，由考核人员即时通知</w:t>
            </w:r>
            <w:r>
              <w:rPr>
                <w:rFonts w:ascii="仿宋_GB2312" w:hAnsi="仿宋_GB2312" w:cs="仿宋_GB2312" w:eastAsia="仿宋_GB2312"/>
                <w:sz w:val="32"/>
              </w:rPr>
              <w:t>考核对象</w:t>
            </w:r>
            <w:r>
              <w:rPr>
                <w:rFonts w:ascii="仿宋_GB2312" w:hAnsi="仿宋_GB2312" w:cs="仿宋_GB2312" w:eastAsia="仿宋_GB2312"/>
                <w:sz w:val="32"/>
              </w:rPr>
              <w:t>管理员及一线工人现场解决，并酌情扣分。发生扣分情况时，由考核人员在现场开具考核记录单，并要求</w:t>
            </w:r>
            <w:r>
              <w:rPr>
                <w:rFonts w:ascii="仿宋_GB2312" w:hAnsi="仿宋_GB2312" w:cs="仿宋_GB2312" w:eastAsia="仿宋_GB2312"/>
                <w:sz w:val="32"/>
              </w:rPr>
              <w:t>考核对象</w:t>
            </w:r>
            <w:r>
              <w:rPr>
                <w:rFonts w:ascii="仿宋_GB2312" w:hAnsi="仿宋_GB2312" w:cs="仿宋_GB2312" w:eastAsia="仿宋_GB2312"/>
                <w:sz w:val="32"/>
              </w:rPr>
              <w:t>管理员在考核记录单上签字，确认被罚事实。如</w:t>
            </w:r>
            <w:r>
              <w:rPr>
                <w:rFonts w:ascii="仿宋_GB2312" w:hAnsi="仿宋_GB2312" w:cs="仿宋_GB2312" w:eastAsia="仿宋_GB2312"/>
                <w:sz w:val="32"/>
              </w:rPr>
              <w:t>考核对象</w:t>
            </w:r>
            <w:r>
              <w:rPr>
                <w:rFonts w:ascii="仿宋_GB2312" w:hAnsi="仿宋_GB2312" w:cs="仿宋_GB2312" w:eastAsia="仿宋_GB2312"/>
                <w:sz w:val="32"/>
              </w:rPr>
              <w:t>管理员拒绝签字的，考核人员应在考核记录单上注明，并以现场拍照或摄像为准，将加重处罚。</w:t>
            </w:r>
          </w:p>
          <w:p>
            <w:pPr>
              <w:pStyle w:val="null5"/>
              <w:ind w:firstLine="640"/>
              <w:jc w:val="both"/>
            </w:pPr>
            <w:r>
              <w:rPr>
                <w:rFonts w:ascii="仿宋_GB2312" w:hAnsi="仿宋_GB2312" w:cs="仿宋_GB2312" w:eastAsia="仿宋_GB2312"/>
                <w:sz w:val="32"/>
              </w:rPr>
              <w:t>3、其他监督考核。其他监督考核包括上级领导视察、 重大节日、专项活动中没有按要求落实，存在问题的；领导交办的事项不按要求落实的；媒体曝光通过核实属</w:t>
            </w:r>
            <w:r>
              <w:rPr>
                <w:rFonts w:ascii="仿宋_GB2312" w:hAnsi="仿宋_GB2312" w:cs="仿宋_GB2312" w:eastAsia="仿宋_GB2312"/>
                <w:sz w:val="32"/>
              </w:rPr>
              <w:t>考核对象</w:t>
            </w:r>
            <w:r>
              <w:rPr>
                <w:rFonts w:ascii="仿宋_GB2312" w:hAnsi="仿宋_GB2312" w:cs="仿宋_GB2312" w:eastAsia="仿宋_GB2312"/>
                <w:sz w:val="32"/>
              </w:rPr>
              <w:t>责任的；市民投诉的。发生以上问题的每次扣</w:t>
            </w:r>
            <w:r>
              <w:rPr>
                <w:rFonts w:ascii="仿宋_GB2312" w:hAnsi="仿宋_GB2312" w:cs="仿宋_GB2312" w:eastAsia="仿宋_GB2312"/>
                <w:sz w:val="32"/>
              </w:rPr>
              <w:t>20分，由乌后旗工业园区从当月的总分中直接扣分。</w:t>
            </w:r>
          </w:p>
          <w:p>
            <w:pPr>
              <w:pStyle w:val="null5"/>
              <w:ind w:firstLine="640"/>
              <w:jc w:val="both"/>
            </w:pPr>
            <w:r>
              <w:rPr>
                <w:rFonts w:ascii="仿宋_GB2312" w:hAnsi="仿宋_GB2312" w:cs="仿宋_GB2312" w:eastAsia="仿宋_GB2312"/>
                <w:sz w:val="32"/>
              </w:rPr>
              <w:t>4、园区企业内的垃圾运输。</w:t>
            </w:r>
            <w:r>
              <w:rPr>
                <w:rFonts w:ascii="仿宋_GB2312" w:hAnsi="仿宋_GB2312" w:cs="仿宋_GB2312" w:eastAsia="仿宋_GB2312"/>
                <w:sz w:val="32"/>
              </w:rPr>
              <w:t>考核对象</w:t>
            </w:r>
            <w:r>
              <w:rPr>
                <w:rFonts w:ascii="仿宋_GB2312" w:hAnsi="仿宋_GB2312" w:cs="仿宋_GB2312" w:eastAsia="仿宋_GB2312"/>
                <w:sz w:val="32"/>
              </w:rPr>
              <w:t>负责园区内所有企业垃圾运输工作，并收取垃圾运输费。</w:t>
            </w:r>
          </w:p>
          <w:p>
            <w:pPr>
              <w:pStyle w:val="null5"/>
              <w:ind w:firstLine="640"/>
              <w:jc w:val="both"/>
            </w:pPr>
            <w:r>
              <w:rPr>
                <w:rFonts w:ascii="仿宋_GB2312" w:hAnsi="仿宋_GB2312" w:cs="仿宋_GB2312" w:eastAsia="仿宋_GB2312"/>
                <w:sz w:val="32"/>
              </w:rPr>
              <w:t>（二）计分办法</w:t>
            </w:r>
          </w:p>
          <w:p>
            <w:pPr>
              <w:pStyle w:val="null5"/>
              <w:ind w:firstLine="640"/>
              <w:jc w:val="both"/>
            </w:pPr>
            <w:r>
              <w:rPr>
                <w:rFonts w:ascii="仿宋_GB2312" w:hAnsi="仿宋_GB2312" w:cs="仿宋_GB2312" w:eastAsia="仿宋_GB2312"/>
                <w:sz w:val="32"/>
              </w:rPr>
              <w:t>考核采用百分制倒扣计分法，月成绩总分为</w:t>
            </w:r>
            <w:r>
              <w:rPr>
                <w:rFonts w:ascii="仿宋_GB2312" w:hAnsi="仿宋_GB2312" w:cs="仿宋_GB2312" w:eastAsia="仿宋_GB2312"/>
                <w:sz w:val="32"/>
              </w:rPr>
              <w:t>100 分。</w:t>
            </w:r>
          </w:p>
          <w:p>
            <w:pPr>
              <w:pStyle w:val="null5"/>
              <w:ind w:firstLine="640"/>
              <w:jc w:val="both"/>
            </w:pPr>
            <w:r>
              <w:rPr>
                <w:rFonts w:ascii="仿宋_GB2312" w:hAnsi="仿宋_GB2312" w:cs="仿宋_GB2312" w:eastAsia="仿宋_GB2312"/>
                <w:sz w:val="32"/>
              </w:rPr>
              <w:t>（三）评定标准</w:t>
            </w:r>
          </w:p>
          <w:p>
            <w:pPr>
              <w:pStyle w:val="null5"/>
              <w:jc w:val="both"/>
            </w:pPr>
            <w:r>
              <w:rPr>
                <w:rFonts w:ascii="仿宋_GB2312" w:hAnsi="仿宋_GB2312" w:cs="仿宋_GB2312" w:eastAsia="仿宋_GB2312"/>
                <w:sz w:val="32"/>
              </w:rPr>
              <w:t xml:space="preserve">    </w:t>
            </w:r>
            <w:r>
              <w:rPr>
                <w:rFonts w:ascii="仿宋_GB2312" w:hAnsi="仿宋_GB2312" w:cs="仿宋_GB2312" w:eastAsia="仿宋_GB2312"/>
                <w:sz w:val="32"/>
              </w:rPr>
              <w:t>月成绩</w:t>
            </w:r>
            <w:r>
              <w:rPr>
                <w:rFonts w:ascii="仿宋_GB2312" w:hAnsi="仿宋_GB2312" w:cs="仿宋_GB2312" w:eastAsia="仿宋_GB2312"/>
                <w:sz w:val="32"/>
              </w:rPr>
              <w:t>95分以上视为优秀，拨付当月全部承包费，月成绩95-80分（含80分）视为合格，扣除当月承包费10%，连续两个月80分以下视为不合格，扣除当月50%承包费，不得将所承揽业务对外分包，否则扣除合同内所有承包费，并与中标签订解除合同，所有后果由承包单位负责。</w:t>
            </w:r>
          </w:p>
          <w:p>
            <w:pPr>
              <w:pStyle w:val="null5"/>
              <w:ind w:firstLine="640"/>
              <w:jc w:val="both"/>
            </w:pPr>
            <w:r>
              <w:rPr>
                <w:rFonts w:ascii="仿宋_GB2312" w:hAnsi="仿宋_GB2312" w:cs="仿宋_GB2312" w:eastAsia="仿宋_GB2312"/>
                <w:sz w:val="32"/>
              </w:rPr>
              <w:t>（四）考核结果</w:t>
            </w:r>
          </w:p>
          <w:p>
            <w:pPr>
              <w:pStyle w:val="null5"/>
              <w:ind w:firstLine="640"/>
              <w:jc w:val="both"/>
            </w:pPr>
            <w:r>
              <w:rPr>
                <w:rFonts w:ascii="仿宋_GB2312" w:hAnsi="仿宋_GB2312" w:cs="仿宋_GB2312" w:eastAsia="仿宋_GB2312"/>
                <w:sz w:val="32"/>
              </w:rPr>
              <w:t>考核结果作为乌后旗工业园区向乌拉特后旗工业园区及呼和温都尔镇城区绿化养护及环卫项目中标（成交）供应商支付当月承包费的依据。考核结果每月以通报形式报送旗政府。</w:t>
            </w:r>
          </w:p>
          <w:p>
            <w:pPr>
              <w:pStyle w:val="null5"/>
              <w:ind w:firstLine="643"/>
              <w:jc w:val="both"/>
            </w:pPr>
            <w:r>
              <w:rPr>
                <w:rFonts w:ascii="仿宋_GB2312" w:hAnsi="仿宋_GB2312" w:cs="仿宋_GB2312" w:eastAsia="仿宋_GB2312"/>
                <w:sz w:val="32"/>
                <w:b/>
              </w:rPr>
              <w:t>四、考核细则</w:t>
            </w:r>
          </w:p>
          <w:p>
            <w:pPr>
              <w:pStyle w:val="null5"/>
              <w:ind w:firstLine="640"/>
              <w:jc w:val="both"/>
            </w:pPr>
            <w:r>
              <w:rPr>
                <w:rFonts w:ascii="仿宋_GB2312" w:hAnsi="仿宋_GB2312" w:cs="仿宋_GB2312" w:eastAsia="仿宋_GB2312"/>
                <w:sz w:val="32"/>
              </w:rPr>
              <w:t>（一）组织管理</w:t>
            </w:r>
          </w:p>
          <w:p>
            <w:pPr>
              <w:pStyle w:val="null5"/>
              <w:ind w:firstLine="640"/>
              <w:jc w:val="both"/>
            </w:pPr>
            <w:r>
              <w:rPr>
                <w:rFonts w:ascii="仿宋_GB2312" w:hAnsi="仿宋_GB2312" w:cs="仿宋_GB2312" w:eastAsia="仿宋_GB2312"/>
                <w:sz w:val="32"/>
              </w:rPr>
              <w:t>1、建立健全相关管理制度。包括上岗制度、检查制度、档案管理制度、安全作业制度等。（未落实扣1分）</w:t>
            </w:r>
          </w:p>
          <w:p>
            <w:pPr>
              <w:pStyle w:val="null5"/>
              <w:ind w:firstLine="640"/>
              <w:jc w:val="both"/>
            </w:pPr>
            <w:r>
              <w:rPr>
                <w:rFonts w:ascii="仿宋_GB2312" w:hAnsi="仿宋_GB2312" w:cs="仿宋_GB2312" w:eastAsia="仿宋_GB2312"/>
                <w:sz w:val="32"/>
              </w:rPr>
              <w:t>2、科学制定各项应急预案，做好重大活动、节假日期间环卫突发事件的预防和应急处置工作；合理安排夏季防汛、冬季清雪工作，最大限度预防和减少恶劣天气不利影响，确保道路整洁、畅通。（未落实扣1分）</w:t>
            </w:r>
          </w:p>
          <w:p>
            <w:pPr>
              <w:pStyle w:val="null5"/>
              <w:ind w:firstLine="640"/>
              <w:jc w:val="both"/>
            </w:pPr>
            <w:r>
              <w:rPr>
                <w:rFonts w:ascii="仿宋_GB2312" w:hAnsi="仿宋_GB2312" w:cs="仿宋_GB2312" w:eastAsia="仿宋_GB2312"/>
                <w:sz w:val="32"/>
              </w:rPr>
              <w:t>3、改善环卫工人工作生活条件，增设环卫工人歇脚点，提高工资福利待遇，增加环卫工人收入，保障环卫工人合法权益。若由于</w:t>
            </w:r>
            <w:r>
              <w:rPr>
                <w:rFonts w:ascii="仿宋_GB2312" w:hAnsi="仿宋_GB2312" w:cs="仿宋_GB2312" w:eastAsia="仿宋_GB2312"/>
                <w:sz w:val="32"/>
              </w:rPr>
              <w:t>考核对象</w:t>
            </w:r>
            <w:r>
              <w:rPr>
                <w:rFonts w:ascii="仿宋_GB2312" w:hAnsi="仿宋_GB2312" w:cs="仿宋_GB2312" w:eastAsia="仿宋_GB2312"/>
                <w:sz w:val="32"/>
              </w:rPr>
              <w:t>管理不当，造成环卫工人上访事件发生，经查属</w:t>
            </w:r>
            <w:r>
              <w:rPr>
                <w:rFonts w:ascii="仿宋_GB2312" w:hAnsi="仿宋_GB2312" w:cs="仿宋_GB2312" w:eastAsia="仿宋_GB2312"/>
                <w:sz w:val="32"/>
              </w:rPr>
              <w:t>考核对象</w:t>
            </w:r>
            <w:r>
              <w:rPr>
                <w:rFonts w:ascii="仿宋_GB2312" w:hAnsi="仿宋_GB2312" w:cs="仿宋_GB2312" w:eastAsia="仿宋_GB2312"/>
                <w:sz w:val="32"/>
              </w:rPr>
              <w:t>责任的。（发生一次扣</w:t>
            </w:r>
            <w:r>
              <w:rPr>
                <w:rFonts w:ascii="仿宋_GB2312" w:hAnsi="仿宋_GB2312" w:cs="仿宋_GB2312" w:eastAsia="仿宋_GB2312"/>
                <w:sz w:val="32"/>
              </w:rPr>
              <w:t>20分）</w:t>
            </w:r>
          </w:p>
          <w:p>
            <w:pPr>
              <w:pStyle w:val="null5"/>
              <w:ind w:firstLine="640"/>
              <w:jc w:val="both"/>
            </w:pPr>
            <w:r>
              <w:rPr>
                <w:rFonts w:ascii="仿宋_GB2312" w:hAnsi="仿宋_GB2312" w:cs="仿宋_GB2312" w:eastAsia="仿宋_GB2312"/>
                <w:sz w:val="32"/>
              </w:rPr>
              <w:t>（二）道路清扫保洁</w:t>
            </w:r>
          </w:p>
          <w:p>
            <w:pPr>
              <w:pStyle w:val="null5"/>
              <w:ind w:firstLine="640"/>
              <w:jc w:val="both"/>
            </w:pPr>
            <w:r>
              <w:rPr>
                <w:rFonts w:ascii="仿宋_GB2312" w:hAnsi="仿宋_GB2312" w:cs="仿宋_GB2312" w:eastAsia="仿宋_GB2312"/>
                <w:sz w:val="32"/>
              </w:rPr>
              <w:t>1、道路清扫保洁，未能按时结束路段普扫任务。（发现一次扣1分）</w:t>
            </w:r>
          </w:p>
          <w:p>
            <w:pPr>
              <w:pStyle w:val="null5"/>
              <w:ind w:firstLine="640"/>
              <w:jc w:val="both"/>
            </w:pPr>
            <w:r>
              <w:rPr>
                <w:rFonts w:ascii="仿宋_GB2312" w:hAnsi="仿宋_GB2312" w:cs="仿宋_GB2312" w:eastAsia="仿宋_GB2312"/>
                <w:sz w:val="32"/>
              </w:rPr>
              <w:t>2、清扫不彻底，道路有堆积物、有果皮、有纸屑白色垃圾、</w:t>
            </w:r>
            <w:r>
              <w:rPr>
                <w:rFonts w:ascii="仿宋_GB2312" w:hAnsi="仿宋_GB2312" w:cs="仿宋_GB2312" w:eastAsia="仿宋_GB2312"/>
                <w:sz w:val="32"/>
              </w:rPr>
              <w:t>有砖瓦石子（建筑垃圾除外）、</w:t>
            </w:r>
            <w:r>
              <w:rPr>
                <w:rFonts w:ascii="仿宋_GB2312" w:hAnsi="仿宋_GB2312" w:cs="仿宋_GB2312" w:eastAsia="仿宋_GB2312"/>
                <w:sz w:val="32"/>
              </w:rPr>
              <w:t>有泥土、有烟蒂；树坑脏、绿带脏、果皮箱垃圾桶脏。（发现一处扣</w:t>
            </w:r>
            <w:r>
              <w:rPr>
                <w:rFonts w:ascii="仿宋_GB2312" w:hAnsi="仿宋_GB2312" w:cs="仿宋_GB2312" w:eastAsia="仿宋_GB2312"/>
                <w:sz w:val="32"/>
              </w:rPr>
              <w:t>1分）</w:t>
            </w:r>
          </w:p>
          <w:p>
            <w:pPr>
              <w:pStyle w:val="null5"/>
              <w:ind w:firstLine="640"/>
              <w:jc w:val="both"/>
            </w:pPr>
            <w:r>
              <w:rPr>
                <w:rFonts w:ascii="仿宋_GB2312" w:hAnsi="仿宋_GB2312" w:cs="仿宋_GB2312" w:eastAsia="仿宋_GB2312"/>
                <w:sz w:val="32"/>
              </w:rPr>
              <w:t>3、清扫道路要控制扬尘，每年5月至10月期间园区主次干道每日洒水不少于3次（早、中、下午）（未落实扣1分）。</w:t>
            </w:r>
          </w:p>
          <w:p>
            <w:pPr>
              <w:pStyle w:val="null5"/>
              <w:ind w:firstLine="640"/>
              <w:jc w:val="both"/>
            </w:pPr>
            <w:r>
              <w:rPr>
                <w:rFonts w:ascii="仿宋_GB2312" w:hAnsi="仿宋_GB2312" w:cs="仿宋_GB2312" w:eastAsia="仿宋_GB2312"/>
                <w:sz w:val="32"/>
              </w:rPr>
              <w:t>4、归拢的垃圾靠边打堆，不得将垃圾扫入下水井、绿地内；严禁焚烧树叶、杂草和废弃物。（发现一处扣2分）</w:t>
            </w:r>
          </w:p>
          <w:p>
            <w:pPr>
              <w:pStyle w:val="null5"/>
              <w:ind w:firstLine="640"/>
              <w:jc w:val="both"/>
            </w:pPr>
            <w:r>
              <w:rPr>
                <w:rFonts w:ascii="仿宋_GB2312" w:hAnsi="仿宋_GB2312" w:cs="仿宋_GB2312" w:eastAsia="仿宋_GB2312"/>
                <w:sz w:val="32"/>
              </w:rPr>
              <w:t>5、雨后、融雪后，路面雪堆、灰渣、泥沙及其它废弃物应及时清刷、清扫干净。（未落实扣1分）</w:t>
            </w:r>
          </w:p>
          <w:p>
            <w:pPr>
              <w:pStyle w:val="null5"/>
              <w:ind w:firstLine="640"/>
              <w:jc w:val="both"/>
            </w:pPr>
            <w:r>
              <w:rPr>
                <w:rFonts w:ascii="仿宋_GB2312" w:hAnsi="仿宋_GB2312" w:cs="仿宋_GB2312" w:eastAsia="仿宋_GB2312"/>
                <w:sz w:val="32"/>
              </w:rPr>
              <w:t>6、机械化清扫作业时，要求车况良好、车容整洁，必须安全、文明作业，尽可能不造成交通拥堵,遇过路行人应减速提示，确保机械清扫率达到60%以上。（未落实扣1分）</w:t>
            </w:r>
          </w:p>
          <w:p>
            <w:pPr>
              <w:pStyle w:val="null5"/>
              <w:ind w:firstLine="640"/>
              <w:jc w:val="both"/>
            </w:pPr>
            <w:r>
              <w:rPr>
                <w:rFonts w:ascii="仿宋_GB2312" w:hAnsi="仿宋_GB2312" w:cs="仿宋_GB2312" w:eastAsia="仿宋_GB2312"/>
                <w:sz w:val="32"/>
              </w:rPr>
              <w:t>7、园区内成片绿化带、广场、公园、景观区及河道配备保洁员巡回保洁，做到可视范围内无白色垃圾，动物尸体等。（发现一处扣2分）</w:t>
            </w:r>
          </w:p>
          <w:p>
            <w:pPr>
              <w:pStyle w:val="null5"/>
              <w:ind w:firstLine="640"/>
              <w:jc w:val="both"/>
            </w:pPr>
            <w:r>
              <w:rPr>
                <w:rFonts w:ascii="仿宋_GB2312" w:hAnsi="仿宋_GB2312" w:cs="仿宋_GB2312" w:eastAsia="仿宋_GB2312"/>
                <w:sz w:val="32"/>
              </w:rPr>
              <w:t>8、上级部门到园区视察工作时，提前三天开始集中打扫清理，园区巡查队发现问题</w:t>
            </w:r>
            <w:r>
              <w:rPr>
                <w:rFonts w:ascii="仿宋_GB2312" w:hAnsi="仿宋_GB2312" w:cs="仿宋_GB2312" w:eastAsia="仿宋_GB2312"/>
                <w:sz w:val="32"/>
              </w:rPr>
              <w:t>考核对象</w:t>
            </w:r>
            <w:r>
              <w:rPr>
                <w:rFonts w:ascii="仿宋_GB2312" w:hAnsi="仿宋_GB2312" w:cs="仿宋_GB2312" w:eastAsia="仿宋_GB2312"/>
                <w:sz w:val="32"/>
              </w:rPr>
              <w:t>必须及时到现场解决相应问题。（未落实</w:t>
            </w:r>
            <w:r>
              <w:rPr>
                <w:rFonts w:ascii="仿宋_GB2312" w:hAnsi="仿宋_GB2312" w:cs="仿宋_GB2312" w:eastAsia="仿宋_GB2312"/>
                <w:sz w:val="32"/>
              </w:rPr>
              <w:t>3分）</w:t>
            </w:r>
          </w:p>
          <w:p>
            <w:pPr>
              <w:pStyle w:val="null5"/>
              <w:ind w:firstLine="640"/>
              <w:jc w:val="both"/>
            </w:pPr>
            <w:r>
              <w:rPr>
                <w:rFonts w:ascii="仿宋_GB2312" w:hAnsi="仿宋_GB2312" w:cs="仿宋_GB2312" w:eastAsia="仿宋_GB2312"/>
                <w:sz w:val="32"/>
              </w:rPr>
              <w:t>（三）</w:t>
            </w:r>
            <w:r>
              <w:rPr>
                <w:rFonts w:ascii="仿宋_GB2312" w:hAnsi="仿宋_GB2312" w:cs="仿宋_GB2312" w:eastAsia="仿宋_GB2312"/>
                <w:sz w:val="32"/>
              </w:rPr>
              <w:t>“门前三包”责任制管理</w:t>
            </w:r>
          </w:p>
          <w:p>
            <w:pPr>
              <w:pStyle w:val="null5"/>
              <w:ind w:firstLine="640"/>
              <w:jc w:val="both"/>
            </w:pPr>
            <w:r>
              <w:rPr>
                <w:rFonts w:ascii="仿宋_GB2312" w:hAnsi="仿宋_GB2312" w:cs="仿宋_GB2312" w:eastAsia="仿宋_GB2312"/>
                <w:sz w:val="32"/>
              </w:rPr>
              <w:t>1、</w:t>
            </w:r>
            <w:r>
              <w:rPr>
                <w:rFonts w:ascii="仿宋_GB2312" w:hAnsi="仿宋_GB2312" w:cs="仿宋_GB2312" w:eastAsia="仿宋_GB2312"/>
                <w:sz w:val="32"/>
              </w:rPr>
              <w:t>考核对象</w:t>
            </w:r>
            <w:r>
              <w:rPr>
                <w:rFonts w:ascii="仿宋_GB2312" w:hAnsi="仿宋_GB2312" w:cs="仿宋_GB2312" w:eastAsia="仿宋_GB2312"/>
                <w:sz w:val="32"/>
              </w:rPr>
              <w:t>督察人员对各企业所管辖地段、企业的</w:t>
            </w:r>
            <w:r>
              <w:rPr>
                <w:rFonts w:ascii="仿宋_GB2312" w:hAnsi="仿宋_GB2312" w:cs="仿宋_GB2312" w:eastAsia="仿宋_GB2312"/>
                <w:sz w:val="32"/>
              </w:rPr>
              <w:t>“门前三包”责任制落实，进行每日巡查保洁。对企业</w:t>
            </w:r>
            <w:r>
              <w:rPr>
                <w:rFonts w:ascii="仿宋_GB2312" w:hAnsi="仿宋_GB2312" w:cs="仿宋_GB2312" w:eastAsia="仿宋_GB2312"/>
                <w:sz w:val="32"/>
              </w:rPr>
              <w:t>办公楼、公寓楼、单身</w:t>
            </w:r>
            <w:r>
              <w:rPr>
                <w:rFonts w:ascii="仿宋_GB2312" w:hAnsi="仿宋_GB2312" w:cs="仿宋_GB2312" w:eastAsia="仿宋_GB2312"/>
                <w:sz w:val="32"/>
              </w:rPr>
              <w:t>宿</w:t>
            </w:r>
            <w:r>
              <w:rPr>
                <w:rFonts w:ascii="仿宋_GB2312" w:hAnsi="仿宋_GB2312" w:cs="仿宋_GB2312" w:eastAsia="仿宋_GB2312"/>
                <w:sz w:val="32"/>
              </w:rPr>
              <w:t>舍等墙壁上</w:t>
            </w:r>
            <w:r>
              <w:rPr>
                <w:rFonts w:ascii="仿宋_GB2312" w:hAnsi="仿宋_GB2312" w:cs="仿宋_GB2312" w:eastAsia="仿宋_GB2312"/>
                <w:sz w:val="32"/>
              </w:rPr>
              <w:t>不得</w:t>
            </w:r>
            <w:r>
              <w:rPr>
                <w:rFonts w:ascii="仿宋_GB2312" w:hAnsi="仿宋_GB2312" w:cs="仿宋_GB2312" w:eastAsia="仿宋_GB2312"/>
                <w:sz w:val="32"/>
              </w:rPr>
              <w:t>乱涂乱画，不得在</w:t>
            </w:r>
            <w:r>
              <w:rPr>
                <w:rFonts w:ascii="仿宋_GB2312" w:hAnsi="仿宋_GB2312" w:cs="仿宋_GB2312" w:eastAsia="仿宋_GB2312"/>
                <w:sz w:val="32"/>
              </w:rPr>
              <w:t>院内外</w:t>
            </w:r>
            <w:r>
              <w:rPr>
                <w:rFonts w:ascii="仿宋_GB2312" w:hAnsi="仿宋_GB2312" w:cs="仿宋_GB2312" w:eastAsia="仿宋_GB2312"/>
                <w:sz w:val="32"/>
              </w:rPr>
              <w:t>墙</w:t>
            </w:r>
            <w:r>
              <w:rPr>
                <w:rFonts w:ascii="仿宋_GB2312" w:hAnsi="仿宋_GB2312" w:cs="仿宋_GB2312" w:eastAsia="仿宋_GB2312"/>
                <w:sz w:val="32"/>
              </w:rPr>
              <w:t>及</w:t>
            </w:r>
            <w:r>
              <w:rPr>
                <w:rFonts w:ascii="仿宋_GB2312" w:hAnsi="仿宋_GB2312" w:cs="仿宋_GB2312" w:eastAsia="仿宋_GB2312"/>
                <w:sz w:val="32"/>
              </w:rPr>
              <w:t>主道两侧悬挂、摆放有碍通行和观瞻的物品</w:t>
            </w:r>
            <w:r>
              <w:rPr>
                <w:rFonts w:ascii="仿宋_GB2312" w:hAnsi="仿宋_GB2312" w:cs="仿宋_GB2312" w:eastAsia="仿宋_GB2312"/>
                <w:sz w:val="32"/>
              </w:rPr>
              <w:t>，</w:t>
            </w:r>
            <w:r>
              <w:rPr>
                <w:rFonts w:ascii="仿宋_GB2312" w:hAnsi="仿宋_GB2312" w:cs="仿宋_GB2312" w:eastAsia="仿宋_GB2312"/>
                <w:sz w:val="32"/>
              </w:rPr>
              <w:t>对据不整改的企业及时反馈工业园区管委</w:t>
            </w:r>
            <w:r>
              <w:rPr>
                <w:rFonts w:ascii="仿宋_GB2312" w:hAnsi="仿宋_GB2312" w:cs="仿宋_GB2312" w:eastAsia="仿宋_GB2312"/>
                <w:sz w:val="32"/>
              </w:rPr>
              <w:t>。</w:t>
            </w:r>
            <w:r>
              <w:rPr>
                <w:rFonts w:ascii="仿宋_GB2312" w:hAnsi="仿宋_GB2312" w:cs="仿宋_GB2312" w:eastAsia="仿宋_GB2312"/>
                <w:sz w:val="32"/>
              </w:rPr>
              <w:t>（未落实</w:t>
            </w:r>
            <w:r>
              <w:rPr>
                <w:rFonts w:ascii="仿宋_GB2312" w:hAnsi="仿宋_GB2312" w:cs="仿宋_GB2312" w:eastAsia="仿宋_GB2312"/>
                <w:sz w:val="32"/>
              </w:rPr>
              <w:t>1分）</w:t>
            </w:r>
          </w:p>
          <w:p>
            <w:pPr>
              <w:pStyle w:val="null5"/>
              <w:ind w:firstLine="640"/>
              <w:jc w:val="both"/>
            </w:pPr>
            <w:r>
              <w:rPr>
                <w:rFonts w:ascii="仿宋_GB2312" w:hAnsi="仿宋_GB2312" w:cs="仿宋_GB2312" w:eastAsia="仿宋_GB2312"/>
                <w:sz w:val="32"/>
              </w:rPr>
              <w:t>2、单位“门前三包”责任制落实、管理到位、秩序良好，</w:t>
            </w:r>
            <w:r>
              <w:rPr>
                <w:rFonts w:ascii="仿宋_GB2312" w:hAnsi="仿宋_GB2312" w:cs="仿宋_GB2312" w:eastAsia="仿宋_GB2312"/>
                <w:sz w:val="32"/>
              </w:rPr>
              <w:t>对据不整改的企业及时反馈工业园区管委</w:t>
            </w:r>
            <w:r>
              <w:rPr>
                <w:rFonts w:ascii="仿宋_GB2312" w:hAnsi="仿宋_GB2312" w:cs="仿宋_GB2312" w:eastAsia="仿宋_GB2312"/>
                <w:sz w:val="32"/>
              </w:rPr>
              <w:t>。</w:t>
            </w:r>
          </w:p>
          <w:p>
            <w:pPr>
              <w:pStyle w:val="null5"/>
              <w:ind w:firstLine="643"/>
              <w:jc w:val="both"/>
            </w:pPr>
            <w:r>
              <w:rPr>
                <w:rFonts w:ascii="仿宋_GB2312" w:hAnsi="仿宋_GB2312" w:cs="仿宋_GB2312" w:eastAsia="仿宋_GB2312"/>
                <w:sz w:val="32"/>
                <w:b/>
              </w:rPr>
              <w:t>五、本考核办法最终解释权归乌拉特后旗工业园区管委会，自</w:t>
            </w:r>
            <w:r>
              <w:rPr>
                <w:rFonts w:ascii="仿宋_GB2312" w:hAnsi="仿宋_GB2312" w:cs="仿宋_GB2312" w:eastAsia="仿宋_GB2312"/>
                <w:sz w:val="32"/>
                <w:b/>
              </w:rPr>
              <w:t>2025年  月  日起执行，本协议每两年签订一次。</w:t>
            </w:r>
          </w:p>
          <w:p>
            <w:pPr>
              <w:pStyle w:val="null5"/>
              <w:ind w:firstLine="643"/>
              <w:jc w:val="both"/>
            </w:pPr>
            <w:r>
              <w:rPr>
                <w:rFonts w:ascii="仿宋_GB2312" w:hAnsi="仿宋_GB2312" w:cs="仿宋_GB2312" w:eastAsia="仿宋_GB2312"/>
              </w:rPr>
              <w:t xml:space="preserve"> </w:t>
            </w:r>
          </w:p>
          <w:p>
            <w:pPr>
              <w:pStyle w:val="null5"/>
              <w:ind w:firstLine="643"/>
              <w:jc w:val="both"/>
            </w:pPr>
            <w:r>
              <w:drawing>
                <wp:inline distT="0" distR="0" distB="0" distL="0">
                  <wp:extent cx="1621155" cy="2400033"/>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1621155" cy="2400033"/>
                          </a:xfrm>
                          <a:prstGeom prst="rect">
                            <a:avLst/>
                          </a:prstGeom>
                        </pic:spPr>
                      </pic:pic>
                    </a:graphicData>
                  </a:graphic>
                </wp:inline>
              </w:drawing>
            </w:r>
          </w:p>
          <w:p>
            <w:pPr>
              <w:pStyle w:val="null5"/>
              <w:jc w:val="both"/>
            </w:pP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技术部分73.00分</w:t>
            </w:r>
          </w:p>
          <w:p>
            <w:pPr>
              <w:pStyle w:val="null5"/>
              <w:jc w:val="left"/>
            </w:pPr>
            <w:r>
              <w:rPr>
                <w:rFonts w:ascii="仿宋_GB2312" w:hAnsi="仿宋_GB2312" w:cs="仿宋_GB2312" w:eastAsia="仿宋_GB2312"/>
              </w:rPr>
              <w:t>商务部分12.00分</w:t>
            </w:r>
          </w:p>
          <w:p>
            <w:pPr>
              <w:pStyle w:val="null5"/>
              <w:jc w:val="left"/>
            </w:pPr>
            <w:r>
              <w:rPr>
                <w:rFonts w:ascii="仿宋_GB2312" w:hAnsi="仿宋_GB2312" w:cs="仿宋_GB2312" w:eastAsia="仿宋_GB2312"/>
              </w:rPr>
              <w:t>报价得分15.00分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养护服务方案与技术措施</w:t>
            </w:r>
          </w:p>
        </w:tc>
        <w:tc>
          <w:tcPr>
            <w:tcW w:type="dxa" w:w="3115"/>
          </w:tcPr>
          <w:p>
            <w:pPr>
              <w:pStyle w:val="null5"/>
              <w:jc w:val="left"/>
            </w:pPr>
            <w:r>
              <w:rPr>
                <w:rFonts w:ascii="仿宋_GB2312" w:hAnsi="仿宋_GB2312" w:cs="仿宋_GB2312" w:eastAsia="仿宋_GB2312"/>
              </w:rPr>
              <w:t>根据投标人出具的养护服务方案与技术措施进行评定，内容至少包含①绿化养护（包括乔木、灌木、绿篱、地被等的养护）②园建设施的管养维护③市政设施的管养维护④区域内环境卫生保洁和秩序维护。包括以上内容但不限于以上内容，以上四项内容完整、不存在瑕疵，得12分；每缺一项扣3分，存在瑕疵的一项扣0-3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特殊季节保障措施</w:t>
            </w:r>
          </w:p>
        </w:tc>
        <w:tc>
          <w:tcPr>
            <w:tcW w:type="dxa" w:w="3115"/>
          </w:tcPr>
          <w:p>
            <w:pPr>
              <w:pStyle w:val="null5"/>
              <w:jc w:val="left"/>
            </w:pPr>
            <w:r>
              <w:rPr>
                <w:rFonts w:ascii="仿宋_GB2312" w:hAnsi="仿宋_GB2312" w:cs="仿宋_GB2312" w:eastAsia="仿宋_GB2312"/>
              </w:rPr>
              <w:t>投标人针对特殊季节作出的针对措施，包括但不限于①冬季清雪除冰②雨季雨水管网畅通等)，以上二项内容完整、不存在瑕疵，得5分；每缺一项扣2.5分，存在瑕疵的一项扣0-2.5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质量保证措施</w:t>
            </w:r>
          </w:p>
        </w:tc>
        <w:tc>
          <w:tcPr>
            <w:tcW w:type="dxa" w:w="3115"/>
          </w:tcPr>
          <w:p>
            <w:pPr>
              <w:pStyle w:val="null5"/>
              <w:jc w:val="left"/>
            </w:pPr>
            <w:r>
              <w:rPr>
                <w:rFonts w:ascii="仿宋_GB2312" w:hAnsi="仿宋_GB2312" w:cs="仿宋_GB2312" w:eastAsia="仿宋_GB2312"/>
              </w:rPr>
              <w:t>根据投标人出具的质量保证措施进行评定，内容至少包含①乔木养护保证措施②灌木养护保证措施③绿篱养护保证措施④地被养护保证措施⑤园建设施及市政设施管养维护保证措施⑥区域内环境卫生保洁和秩序维护保证措施。包括以上内容但不限于以上内容，以上六项内容完整、不存在瑕疵，得12分；每缺一项扣2分，存在瑕疵的一项扣0-2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组织管理实施进度方案</w:t>
            </w:r>
          </w:p>
        </w:tc>
        <w:tc>
          <w:tcPr>
            <w:tcW w:type="dxa" w:w="3115"/>
          </w:tcPr>
          <w:p>
            <w:pPr>
              <w:pStyle w:val="null5"/>
              <w:jc w:val="left"/>
            </w:pPr>
            <w:r>
              <w:rPr>
                <w:rFonts w:ascii="仿宋_GB2312" w:hAnsi="仿宋_GB2312" w:cs="仿宋_GB2312" w:eastAsia="仿宋_GB2312"/>
              </w:rPr>
              <w:t>根据投标人出具的组织管理实施进度方案进行评定，内容至少包含①项目组织体系②组织管理保障措施③项目进度计划安排④进度保证措施，以上四项内容完整、不存在瑕疵，得8分；每缺一项扣2分，存在瑕疵的一项扣0-2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安全文明保证措施</w:t>
            </w:r>
          </w:p>
        </w:tc>
        <w:tc>
          <w:tcPr>
            <w:tcW w:type="dxa" w:w="3115"/>
          </w:tcPr>
          <w:p>
            <w:pPr>
              <w:pStyle w:val="null5"/>
              <w:jc w:val="left"/>
            </w:pPr>
            <w:r>
              <w:rPr>
                <w:rFonts w:ascii="仿宋_GB2312" w:hAnsi="仿宋_GB2312" w:cs="仿宋_GB2312" w:eastAsia="仿宋_GB2312"/>
              </w:rPr>
              <w:t>根据投标人出具的安全文明保证措施进行评定，内容至少包含①治安消防②设施保护③安全保证措施④文明保证措施⑤安全作业培训，以上五项内容完整、不存在瑕疵，得10分；每缺一项扣2分，存在瑕疵的一项扣0-2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作业人员及项目车辆设备配置方案</w:t>
            </w:r>
          </w:p>
        </w:tc>
        <w:tc>
          <w:tcPr>
            <w:tcW w:type="dxa" w:w="3115"/>
          </w:tcPr>
          <w:p>
            <w:pPr>
              <w:pStyle w:val="null5"/>
              <w:jc w:val="left"/>
            </w:pPr>
            <w:r>
              <w:rPr>
                <w:rFonts w:ascii="仿宋_GB2312" w:hAnsi="仿宋_GB2312" w:cs="仿宋_GB2312" w:eastAsia="仿宋_GB2312"/>
              </w:rPr>
              <w:t>根据投标人提供的人员及车辆设备配置方案(包含但不限于①人员的配备计划②设备配置管理方案③车辆保险制度④环卫设备维修保养流程及管理方案⑤项目设备恢复性大修方案)，以上五项内容完整、不存在瑕疵，得10分；每缺一项扣2分，存在瑕疵的一项扣0-2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人的项目培训计划方案(包含但不限于①培训计划②培训内容③时间地点安排④培训方式)以上四项内容完整、不存在瑕疵，得8分；每缺一项扣2分，存在瑕疵的一项扣0-2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应急措施</w:t>
            </w:r>
          </w:p>
        </w:tc>
        <w:tc>
          <w:tcPr>
            <w:tcW w:type="dxa" w:w="3115"/>
          </w:tcPr>
          <w:p>
            <w:pPr>
              <w:pStyle w:val="null5"/>
              <w:jc w:val="left"/>
            </w:pPr>
            <w:r>
              <w:rPr>
                <w:rFonts w:ascii="仿宋_GB2312" w:hAnsi="仿宋_GB2312" w:cs="仿宋_GB2312" w:eastAsia="仿宋_GB2312"/>
              </w:rPr>
              <w:t>根据供应商出具的应急方案进行综合评定，内容至少包含①含突发事件（如大风、暴雨、火灾）应对措施②安全事故应急措施③其他事件应急措施，以上三项内容完整、不存在瑕疵，得6分；每缺一项扣2分，存在瑕疵的一项扣0-2分，扣完为止。（本项所指“瑕疵”是指内容不完整或缺少关键点；非专门针对本项目或不适用本项目特性、套用其他项目内容；存在逻辑漏洞、科学原理或常识错误；不利于本项目实施、现有技术条件下无法实现等任意一种情形）</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相关业绩</w:t>
            </w:r>
          </w:p>
        </w:tc>
        <w:tc>
          <w:tcPr>
            <w:tcW w:type="dxa" w:w="3115"/>
          </w:tcPr>
          <w:p>
            <w:pPr>
              <w:pStyle w:val="null5"/>
              <w:jc w:val="left"/>
            </w:pPr>
            <w:r>
              <w:rPr>
                <w:rFonts w:ascii="仿宋_GB2312" w:hAnsi="仿宋_GB2312" w:cs="仿宋_GB2312" w:eastAsia="仿宋_GB2312"/>
              </w:rPr>
              <w:t>1.2020年1月1日以来，具有园林绿化项目业绩，每提供一项业绩得1.5分，最高得3分。(以合同签订日期为准，投标文件需附合同扫描件) 2.2020年1月1日以来，具有环卫服务相关业绩，每提供一项业绩得1.5分，最高得3分。(以合同签订日期为准，投标文件需附合同扫描件)</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项目负责人能力</w:t>
            </w:r>
          </w:p>
        </w:tc>
        <w:tc>
          <w:tcPr>
            <w:tcW w:type="dxa" w:w="3115"/>
          </w:tcPr>
          <w:p>
            <w:pPr>
              <w:pStyle w:val="null5"/>
              <w:jc w:val="left"/>
            </w:pPr>
            <w:r>
              <w:rPr>
                <w:rFonts w:ascii="仿宋_GB2312" w:hAnsi="仿宋_GB2312" w:cs="仿宋_GB2312" w:eastAsia="仿宋_GB2312"/>
              </w:rPr>
              <w:t>项目负责人具有园林绿化相关专业中级及以上职称得3分，否则不得分。（以投标文件中所附证书原件扫描件为评审依据，不提供、不清晰均不得分）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项目管理机构</w:t>
            </w:r>
          </w:p>
        </w:tc>
        <w:tc>
          <w:tcPr>
            <w:tcW w:type="dxa" w:w="3115"/>
          </w:tcPr>
          <w:p>
            <w:pPr>
              <w:pStyle w:val="null5"/>
              <w:jc w:val="left"/>
            </w:pPr>
            <w:r>
              <w:rPr>
                <w:rFonts w:ascii="仿宋_GB2312" w:hAnsi="仿宋_GB2312" w:cs="仿宋_GB2312" w:eastAsia="仿宋_GB2312"/>
              </w:rPr>
              <w:t>根据项目管理人员配备的齐备、完整、合理程度：包括但不限于技术员、安全员、质量员、材料员、资料员、预算员（造价员或造价工程师）等，每提供一人得0.5分，最多得3分。（以投标文件中所附人员证书原件扫描件为评审依据，不提供、不清晰均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 Id="rId8" Target="media/image1.png" Type="http://schemas.openxmlformats.org/officeDocument/2006/relationships/imag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