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乌拉特后旗动物疫病防控社会化服务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乌拉特后旗动物疫病预防控制中心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内蒙古汇正项目管理有限公司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BSZCHQS-C-F-250012</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内蒙古汇正项目管理有限公司</w:t>
      </w:r>
      <w:r>
        <w:rPr>
          <w:rFonts w:ascii="仿宋_GB2312" w:hAnsi="仿宋_GB2312" w:cs="仿宋_GB2312" w:eastAsia="仿宋_GB2312"/>
        </w:rPr>
        <w:t xml:space="preserve"> 受 </w:t>
      </w:r>
      <w:r>
        <w:rPr>
          <w:rFonts w:ascii="仿宋_GB2312" w:hAnsi="仿宋_GB2312" w:cs="仿宋_GB2312" w:eastAsia="仿宋_GB2312"/>
        </w:rPr>
        <w:t>乌拉特后旗动物疫病预防控制中心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乌拉特后旗动物疫病防控社会化服务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乌拉特后旗动物疫病防控社会化服务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BSZCHQS-C-F-250012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乌后政采计划[2025]00100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3,498,276.00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乌拉特后旗动物疫病防控社会化服务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3,498,276.00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内蒙古汇正项目管理有限公司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内蒙古自治区巴彦淖尔市临河区庆丰街南银河路东西城名典G8楼六楼604</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闻飞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15648870009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乌拉特后旗动物疫病预防控制中心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内蒙古巴彦淖尔市乌拉特后旗巴音宝力格镇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赵贝</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15164871718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代理服务费收费标准：4.8万元</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采购包1保证金金额：30,000.00元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乌拉特后旗动物疫病预防控制中心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内蒙古汇正项目管理有限公司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负责动物防疫中的重大动物疫病和计划免疫病种的免疫、流行病学调查、采样、消毒、协助官方兽医开展检疫、防疫知识宣传、免疫档案和相关记录填写、动物疫情报告、疫情处置等工作。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乌拉特后旗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1、合同中另行约定，达到付款条件起90日，支付合同总金额的100.00%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标的名称：乌拉特后旗动物疫病防控社会化服务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一、目标任务</w:t>
            </w:r>
          </w:p>
          <w:p>
            <w:pPr>
              <w:pStyle w:val="null5"/>
              <w:jc w:val="both"/>
            </w:pPr>
            <w:r>
              <w:rPr>
                <w:rFonts w:ascii="仿宋_GB2312" w:hAnsi="仿宋_GB2312" w:cs="仿宋_GB2312" w:eastAsia="仿宋_GB2312"/>
                <w:sz w:val="24"/>
              </w:rPr>
              <w:t>2025年开始，实行兽医社会化服务新模式，形成政府主导的公益性兽医服务和市场主导的经营性兽医服务相结合的新格局。引进第三方组织，创新工作模式，依法落实相关部门防疫责任，拓展兽医公共服务，全面提高动物疫病防控能力。2025年全面实现规模养殖场户自行防疫（先打后补）和兽医社会化服务相结合的模式。</w:t>
            </w:r>
          </w:p>
          <w:p>
            <w:pPr>
              <w:pStyle w:val="null5"/>
              <w:jc w:val="both"/>
            </w:pPr>
            <w:r>
              <w:rPr>
                <w:rFonts w:ascii="仿宋_GB2312" w:hAnsi="仿宋_GB2312" w:cs="仿宋_GB2312" w:eastAsia="仿宋_GB2312"/>
                <w:sz w:val="24"/>
              </w:rPr>
              <w:t>二、实施范围</w:t>
            </w:r>
          </w:p>
          <w:p>
            <w:pPr>
              <w:pStyle w:val="null5"/>
              <w:jc w:val="both"/>
            </w:pPr>
            <w:r>
              <w:rPr>
                <w:rFonts w:ascii="仿宋_GB2312" w:hAnsi="仿宋_GB2312" w:cs="仿宋_GB2312" w:eastAsia="仿宋_GB2312"/>
                <w:sz w:val="24"/>
              </w:rPr>
              <w:t>乌拉特后旗全域</w:t>
            </w:r>
          </w:p>
          <w:p>
            <w:pPr>
              <w:pStyle w:val="null5"/>
              <w:jc w:val="both"/>
            </w:pPr>
            <w:r>
              <w:rPr>
                <w:rFonts w:ascii="仿宋_GB2312" w:hAnsi="仿宋_GB2312" w:cs="仿宋_GB2312" w:eastAsia="仿宋_GB2312"/>
                <w:sz w:val="24"/>
              </w:rPr>
              <w:t>三、运行模式</w:t>
            </w:r>
          </w:p>
          <w:p>
            <w:pPr>
              <w:pStyle w:val="null5"/>
              <w:jc w:val="both"/>
            </w:pPr>
            <w:r>
              <w:rPr>
                <w:rFonts w:ascii="仿宋_GB2312" w:hAnsi="仿宋_GB2312" w:cs="仿宋_GB2312" w:eastAsia="仿宋_GB2312"/>
                <w:sz w:val="24"/>
              </w:rPr>
              <w:t>（一）实施主体：旗人民政府负责动物防疫服务的组织领导，旗农牧和科技局负责总体工作，旗动物疫病预防控制中心负责具体实施，各苏木镇配合完成相关工作。</w:t>
            </w:r>
          </w:p>
          <w:p>
            <w:pPr>
              <w:pStyle w:val="null5"/>
              <w:jc w:val="both"/>
            </w:pPr>
            <w:r>
              <w:rPr>
                <w:rFonts w:ascii="仿宋_GB2312" w:hAnsi="仿宋_GB2312" w:cs="仿宋_GB2312" w:eastAsia="仿宋_GB2312"/>
                <w:sz w:val="24"/>
              </w:rPr>
              <w:t>（二）实施方式：旗动物疫病预防控制中心采取政府采购的方式，购买动物疫病防控社会化服务，服务期限为</w:t>
            </w:r>
            <w:r>
              <w:rPr>
                <w:rFonts w:ascii="仿宋_GB2312" w:hAnsi="仿宋_GB2312" w:cs="仿宋_GB2312" w:eastAsia="仿宋_GB2312"/>
                <w:sz w:val="24"/>
              </w:rPr>
              <w:t>1年（具体时间由最终签订合同时间为准）。</w:t>
            </w:r>
          </w:p>
          <w:p>
            <w:pPr>
              <w:pStyle w:val="null5"/>
              <w:jc w:val="both"/>
            </w:pPr>
            <w:r>
              <w:rPr>
                <w:rFonts w:ascii="仿宋_GB2312" w:hAnsi="仿宋_GB2312" w:cs="仿宋_GB2312" w:eastAsia="仿宋_GB2312"/>
                <w:sz w:val="24"/>
              </w:rPr>
              <w:t>（三）承接主体：具有实力的企业或合作社。承接主体应具备以下条件。</w:t>
            </w:r>
          </w:p>
          <w:p>
            <w:pPr>
              <w:pStyle w:val="null5"/>
              <w:jc w:val="both"/>
            </w:pPr>
            <w:r>
              <w:rPr>
                <w:rFonts w:ascii="仿宋_GB2312" w:hAnsi="仿宋_GB2312" w:cs="仿宋_GB2312" w:eastAsia="仿宋_GB2312"/>
                <w:sz w:val="24"/>
              </w:rPr>
              <w:t>1.依法设立，具有独立法人资格的公司或合作社。</w:t>
            </w:r>
          </w:p>
          <w:p>
            <w:pPr>
              <w:pStyle w:val="null5"/>
              <w:jc w:val="both"/>
            </w:pPr>
            <w:r>
              <w:rPr>
                <w:rFonts w:ascii="仿宋_GB2312" w:hAnsi="仿宋_GB2312" w:cs="仿宋_GB2312" w:eastAsia="仿宋_GB2312"/>
                <w:sz w:val="24"/>
              </w:rPr>
              <w:t>2.具有兽医服务职能，内部管理和监管制度完善。</w:t>
            </w:r>
          </w:p>
          <w:p>
            <w:pPr>
              <w:pStyle w:val="null5"/>
              <w:jc w:val="both"/>
            </w:pPr>
            <w:r>
              <w:rPr>
                <w:rFonts w:ascii="仿宋_GB2312" w:hAnsi="仿宋_GB2312" w:cs="仿宋_GB2312" w:eastAsia="仿宋_GB2312"/>
                <w:sz w:val="24"/>
              </w:rPr>
              <w:t>3.具有独立的财务管理、会计核算和资产管理体系。</w:t>
            </w:r>
          </w:p>
          <w:p>
            <w:pPr>
              <w:pStyle w:val="null5"/>
              <w:jc w:val="both"/>
            </w:pPr>
            <w:r>
              <w:rPr>
                <w:rFonts w:ascii="仿宋_GB2312" w:hAnsi="仿宋_GB2312" w:cs="仿宋_GB2312" w:eastAsia="仿宋_GB2312"/>
                <w:sz w:val="24"/>
              </w:rPr>
              <w:t>4.具有提供兽医公共服务所必需的设施、人员和专业技术能力。</w:t>
            </w:r>
          </w:p>
          <w:p>
            <w:pPr>
              <w:pStyle w:val="null5"/>
              <w:jc w:val="both"/>
            </w:pPr>
            <w:r>
              <w:rPr>
                <w:rFonts w:ascii="仿宋_GB2312" w:hAnsi="仿宋_GB2312" w:cs="仿宋_GB2312" w:eastAsia="仿宋_GB2312"/>
                <w:sz w:val="24"/>
              </w:rPr>
              <w:t>5.无重大违法违纪行为，通过年检，资质审查合格，社会信誉、商业信誉良好，在全国企业信用公示系统无不良记录。</w:t>
            </w:r>
          </w:p>
          <w:p>
            <w:pPr>
              <w:pStyle w:val="null5"/>
              <w:jc w:val="both"/>
            </w:pPr>
            <w:r>
              <w:rPr>
                <w:rFonts w:ascii="仿宋_GB2312" w:hAnsi="仿宋_GB2312" w:cs="仿宋_GB2312" w:eastAsia="仿宋_GB2312"/>
                <w:sz w:val="24"/>
              </w:rPr>
              <w:t>6.法律法规规定以及服务项目要求的其他条件。</w:t>
            </w:r>
          </w:p>
          <w:p>
            <w:pPr>
              <w:pStyle w:val="null5"/>
              <w:jc w:val="both"/>
            </w:pPr>
            <w:r>
              <w:rPr>
                <w:rFonts w:ascii="仿宋_GB2312" w:hAnsi="仿宋_GB2312" w:cs="仿宋_GB2312" w:eastAsia="仿宋_GB2312"/>
                <w:sz w:val="24"/>
              </w:rPr>
              <w:t>四、实施内容及服务要求</w:t>
            </w:r>
          </w:p>
          <w:p>
            <w:pPr>
              <w:pStyle w:val="null5"/>
              <w:jc w:val="both"/>
            </w:pPr>
            <w:r>
              <w:rPr>
                <w:rFonts w:ascii="仿宋_GB2312" w:hAnsi="仿宋_GB2312" w:cs="仿宋_GB2312" w:eastAsia="仿宋_GB2312"/>
                <w:sz w:val="24"/>
              </w:rPr>
              <w:t>社会化服务内容主要是动物防疫中的免疫、流调、采样、消毒、协检、记录等，涉及实施社会化服务的嘎查村级防疫员转为服务组织用工。</w:t>
            </w:r>
          </w:p>
          <w:p>
            <w:pPr>
              <w:pStyle w:val="null5"/>
              <w:jc w:val="both"/>
            </w:pPr>
            <w:r>
              <w:rPr>
                <w:rFonts w:ascii="仿宋_GB2312" w:hAnsi="仿宋_GB2312" w:cs="仿宋_GB2312" w:eastAsia="仿宋_GB2312"/>
                <w:sz w:val="24"/>
              </w:rPr>
              <w:t>（一）重大动物疫病强制免疫和计划免疫。对辖区内畜禽开展口蹄疫、高致病性禽流感、小反刍兽疫、布病、包虫病等重大动物疫病强制免疫和羊痘、羊三联、猪蓝耳病、狂犬病等动物疫病的计划免疫工作，重大动物疫病群体免疫密度常年保持在</w:t>
            </w:r>
            <w:r>
              <w:rPr>
                <w:rFonts w:ascii="仿宋_GB2312" w:hAnsi="仿宋_GB2312" w:cs="仿宋_GB2312" w:eastAsia="仿宋_GB2312"/>
                <w:sz w:val="24"/>
              </w:rPr>
              <w:t>90%以上，其中应免畜禽免疫密度应达到100%。高致病性禽流感、口蹄疫、小反刍兽疫、猪瘟、高致病性猪蓝耳病、包虫病、布病免疫抗体合格率全年保持在70%以上，计划免疫群体免疫密度保持在90%以上，做到应免尽免，服务标准按原动物防疫标准执行。</w:t>
            </w:r>
          </w:p>
          <w:p>
            <w:pPr>
              <w:pStyle w:val="null5"/>
              <w:jc w:val="both"/>
            </w:pPr>
            <w:r>
              <w:rPr>
                <w:rFonts w:ascii="仿宋_GB2312" w:hAnsi="仿宋_GB2312" w:cs="仿宋_GB2312" w:eastAsia="仿宋_GB2312"/>
                <w:sz w:val="24"/>
              </w:rPr>
              <w:t>（二）流行病学调查。按照《乌拉特后旗动物疫病流行病学调查和监测计划》的要求开展相关工作，每年至少对承包区域内的养殖户开展两次流行病学调查和采样监测。</w:t>
            </w:r>
          </w:p>
          <w:p>
            <w:pPr>
              <w:pStyle w:val="null5"/>
              <w:jc w:val="both"/>
            </w:pPr>
            <w:r>
              <w:rPr>
                <w:rFonts w:ascii="仿宋_GB2312" w:hAnsi="仿宋_GB2312" w:cs="仿宋_GB2312" w:eastAsia="仿宋_GB2312"/>
                <w:sz w:val="24"/>
              </w:rPr>
              <w:t>（三）消毒灭源工作。按要求完成养殖户的常规、专项和应急消毒灭源工作，常规消毒主要包括每年春、秋的集中消毒灭源；专项消毒针对国家要求完成的专项消毒灭源；应急消毒要根据疫病的发生情况确定消毒频次和范围。</w:t>
            </w:r>
          </w:p>
          <w:p>
            <w:pPr>
              <w:pStyle w:val="null5"/>
              <w:jc w:val="both"/>
            </w:pPr>
            <w:r>
              <w:rPr>
                <w:rFonts w:ascii="仿宋_GB2312" w:hAnsi="仿宋_GB2312" w:cs="仿宋_GB2312" w:eastAsia="仿宋_GB2312"/>
                <w:sz w:val="24"/>
              </w:rPr>
              <w:t>（四）动物免疫档案填写和管理。按要求为养殖户建立动物免疫档案，规模养殖场规范填写养殖档案。同时，根据防疫信息完成免疫电子档案的录入，包虫病犬驱虫台账单独填写，按时上报工作进展。</w:t>
            </w:r>
          </w:p>
          <w:p>
            <w:pPr>
              <w:pStyle w:val="null5"/>
              <w:jc w:val="both"/>
            </w:pPr>
            <w:r>
              <w:rPr>
                <w:rFonts w:ascii="仿宋_GB2312" w:hAnsi="仿宋_GB2312" w:cs="仿宋_GB2312" w:eastAsia="仿宋_GB2312"/>
                <w:sz w:val="24"/>
              </w:rPr>
              <w:t>（五）协助官方兽医工作。熟悉掌握辖区内养殖户动物存栏、出栏、补栏、常见疾病等基本情况，配合官方兽医做好动物产地检疫协检工作。</w:t>
            </w:r>
            <w:r>
              <w:rPr>
                <w:rFonts w:ascii="仿宋_GB2312" w:hAnsi="仿宋_GB2312" w:cs="仿宋_GB2312" w:eastAsia="仿宋_GB2312"/>
                <w:sz w:val="24"/>
              </w:rPr>
              <w:t xml:space="preserve">    </w:t>
            </w:r>
          </w:p>
          <w:p>
            <w:pPr>
              <w:pStyle w:val="null5"/>
              <w:jc w:val="both"/>
            </w:pPr>
            <w:r>
              <w:rPr>
                <w:rFonts w:ascii="仿宋_GB2312" w:hAnsi="仿宋_GB2312" w:cs="仿宋_GB2312" w:eastAsia="仿宋_GB2312"/>
                <w:sz w:val="24"/>
              </w:rPr>
              <w:t>（六）开展动物诊疗服务。服务组织要设置开展诊断、治疗、咨询等服务的固定场所，配备专业人员，满足辖区内养殖场户防治动物疾病的需求。</w:t>
            </w:r>
          </w:p>
          <w:p>
            <w:pPr>
              <w:pStyle w:val="null5"/>
              <w:jc w:val="both"/>
            </w:pPr>
            <w:r>
              <w:rPr>
                <w:rFonts w:ascii="仿宋_GB2312" w:hAnsi="仿宋_GB2312" w:cs="仿宋_GB2312" w:eastAsia="仿宋_GB2312"/>
                <w:sz w:val="24"/>
              </w:rPr>
              <w:t>（七）宣传工作。根据动物疫病防控需要，对辖区内的养殖户通过发放宣传单、海报，网络媒体等方法做好宣传工作，提高群众重大动物疫病防控意识。</w:t>
            </w:r>
          </w:p>
          <w:p>
            <w:pPr>
              <w:pStyle w:val="null5"/>
              <w:jc w:val="both"/>
            </w:pPr>
            <w:r>
              <w:rPr>
                <w:rFonts w:ascii="仿宋_GB2312" w:hAnsi="仿宋_GB2312" w:cs="仿宋_GB2312" w:eastAsia="仿宋_GB2312"/>
                <w:sz w:val="24"/>
              </w:rPr>
              <w:t>（八）协助完成各项疫情处置工作。在辖区内发现疫情，及时上报旗农牧和科技局或旗动物疫病预防控制中心，并承担扑杀、消毒、采样、封锁、无害化处理等动物疫情应急处置相关有偿劳务。</w:t>
            </w:r>
          </w:p>
          <w:p>
            <w:pPr>
              <w:pStyle w:val="null5"/>
              <w:jc w:val="both"/>
            </w:pPr>
            <w:r>
              <w:rPr>
                <w:rFonts w:ascii="仿宋_GB2312" w:hAnsi="仿宋_GB2312" w:cs="仿宋_GB2312" w:eastAsia="仿宋_GB2312"/>
                <w:sz w:val="24"/>
              </w:rPr>
              <w:t>（九）其他工作。做好当地政府和动物防疫机构安排的其他动物防疫任务。</w:t>
            </w:r>
          </w:p>
          <w:p>
            <w:pPr>
              <w:pStyle w:val="null5"/>
              <w:jc w:val="both"/>
            </w:pPr>
            <w:r>
              <w:rPr>
                <w:rFonts w:ascii="仿宋_GB2312" w:hAnsi="仿宋_GB2312" w:cs="仿宋_GB2312" w:eastAsia="仿宋_GB2312"/>
                <w:sz w:val="24"/>
              </w:rPr>
              <w:t>五、动物疫病防控社会化服务组织责任</w:t>
            </w:r>
          </w:p>
          <w:p>
            <w:pPr>
              <w:pStyle w:val="null5"/>
              <w:jc w:val="both"/>
            </w:pPr>
            <w:r>
              <w:rPr>
                <w:rFonts w:ascii="仿宋_GB2312" w:hAnsi="仿宋_GB2312" w:cs="仿宋_GB2312" w:eastAsia="仿宋_GB2312"/>
                <w:sz w:val="24"/>
              </w:rPr>
              <w:t>要规范制定章程和管理制度，高标准完成各项防疫工作。在防疫期间做好详实的计划安排，发现问题及时上报辖区苏木镇政府，做实做细各项工作。各类重大动物免疫方面，确保免疫效果和质量；检疫监管方面，密切关注辖区各类动物的调出调入情况，及时和动物疫病预防控制中心联系，做好疫情排查工作；完成重大疫情处置及临时交办的其他工作；服务组织因工作不到位引发疫情蔓延扩散的，立即终止承包合同；造成重大影响的，按照相关法律法规承担相应经济损失的赔偿；造成严重后果的，承担相应的法律责任。</w:t>
            </w:r>
            <w:r>
              <w:rPr>
                <w:rFonts w:ascii="仿宋_GB2312" w:hAnsi="仿宋_GB2312" w:cs="仿宋_GB2312" w:eastAsia="仿宋_GB2312"/>
                <w:sz w:val="24"/>
              </w:rPr>
              <w:t xml:space="preserve">  </w:t>
            </w:r>
          </w:p>
          <w:p>
            <w:pPr>
              <w:pStyle w:val="null5"/>
              <w:jc w:val="both"/>
            </w:pPr>
            <w:r>
              <w:rPr>
                <w:rFonts w:ascii="仿宋_GB2312" w:hAnsi="仿宋_GB2312" w:cs="仿宋_GB2312" w:eastAsia="仿宋_GB2312"/>
                <w:sz w:val="24"/>
              </w:rPr>
              <w:t>六、服务人员配备和资金预算</w:t>
            </w:r>
          </w:p>
          <w:p>
            <w:pPr>
              <w:pStyle w:val="null5"/>
              <w:jc w:val="both"/>
            </w:pPr>
            <w:r>
              <w:rPr>
                <w:rFonts w:ascii="仿宋_GB2312" w:hAnsi="仿宋_GB2312" w:cs="仿宋_GB2312" w:eastAsia="仿宋_GB2312"/>
                <w:sz w:val="24"/>
              </w:rPr>
              <w:t>（一）防疫员队伍建设。结合牲畜存栏量、防疫病种的增减、防疫半径等因素确定防疫员数量。防疫员来源为当地现有动物防疫员、执业兽医、乡村兽医等有资质人员。</w:t>
            </w:r>
          </w:p>
          <w:p>
            <w:pPr>
              <w:pStyle w:val="null5"/>
              <w:jc w:val="both"/>
            </w:pPr>
            <w:r>
              <w:rPr>
                <w:rFonts w:ascii="仿宋_GB2312" w:hAnsi="仿宋_GB2312" w:cs="仿宋_GB2312" w:eastAsia="仿宋_GB2312"/>
                <w:sz w:val="24"/>
              </w:rPr>
              <w:t>（二）经费预算。服务经费来源为上级兽医社会化服务经费和旗级财政兽医社会化服务预算经费。据测算，防疫员工资、各类税费、工作经费等费用共</w:t>
            </w:r>
            <w:r>
              <w:rPr>
                <w:rFonts w:ascii="仿宋_GB2312" w:hAnsi="仿宋_GB2312" w:cs="仿宋_GB2312" w:eastAsia="仿宋_GB2312"/>
                <w:sz w:val="24"/>
              </w:rPr>
              <w:t>349.8276万元。实际服务费经相关部门对完成防疫工作数量、质量验收后进行核算。</w:t>
            </w:r>
          </w:p>
          <w:p>
            <w:pPr>
              <w:pStyle w:val="null5"/>
              <w:jc w:val="both"/>
            </w:pPr>
            <w:r>
              <w:rPr>
                <w:rFonts w:ascii="仿宋_GB2312" w:hAnsi="仿宋_GB2312" w:cs="仿宋_GB2312" w:eastAsia="仿宋_GB2312"/>
                <w:sz w:val="24"/>
              </w:rPr>
              <w:t>（三）物资供应。乌拉特后旗动物疫病预防控制中心组织供应强制免疫（口蹄疫、禽流感、小反刍兽疫、布病）和部分计划免疫（猪瘟、猪蓝耳病、鸡新城疫等）疫苗，并视经费情况按需配备防控物资。服务组织应根据各辖区内畜禽存栏情况领取并使用疫苗等防控物资，并由专人做好疫苗等防控物资出入库台账。免疫疫苗要确保其在运输、储藏和使用等环节全程冷链，妥善管理、确保使用安全。</w:t>
            </w:r>
          </w:p>
          <w:p>
            <w:pPr>
              <w:pStyle w:val="null5"/>
              <w:jc w:val="both"/>
            </w:pPr>
            <w:r>
              <w:rPr>
                <w:rFonts w:ascii="仿宋_GB2312" w:hAnsi="仿宋_GB2312" w:cs="仿宋_GB2312" w:eastAsia="仿宋_GB2312"/>
                <w:sz w:val="24"/>
              </w:rPr>
              <w:t>七、实施步骤</w:t>
            </w:r>
          </w:p>
          <w:p>
            <w:pPr>
              <w:pStyle w:val="null5"/>
              <w:jc w:val="both"/>
            </w:pPr>
            <w:r>
              <w:rPr>
                <w:rFonts w:ascii="仿宋_GB2312" w:hAnsi="仿宋_GB2312" w:cs="仿宋_GB2312" w:eastAsia="仿宋_GB2312"/>
                <w:sz w:val="24"/>
              </w:rPr>
              <w:t>（一）启动阶段。完成政府采购后，与中标企业签订服务合同，明确服务范围、标的、数量、质量、服务期限、资金支付方式、权利义务以及违约责任等内容。服务组织要保障防疫员待遇不变。合同签订后拨付总金额的</w:t>
            </w:r>
            <w:r>
              <w:rPr>
                <w:rFonts w:ascii="仿宋_GB2312" w:hAnsi="仿宋_GB2312" w:cs="仿宋_GB2312" w:eastAsia="仿宋_GB2312"/>
                <w:sz w:val="24"/>
              </w:rPr>
              <w:t>10%作为启动资金。</w:t>
            </w:r>
          </w:p>
          <w:p>
            <w:pPr>
              <w:pStyle w:val="null5"/>
              <w:jc w:val="both"/>
            </w:pPr>
            <w:r>
              <w:rPr>
                <w:rFonts w:ascii="仿宋_GB2312" w:hAnsi="仿宋_GB2312" w:cs="仿宋_GB2312" w:eastAsia="仿宋_GB2312"/>
                <w:sz w:val="24"/>
              </w:rPr>
              <w:t>（二）实施阶段。服务组织按照合同内容组织实施，开展春、秋防疫大会战等相关工作；防疫员基础工资按月发放，绩效工资在春秋防集中免疫结束后，根据相关部门考核结果拨付资金情况，分两次发放完成。</w:t>
            </w:r>
          </w:p>
          <w:p>
            <w:pPr>
              <w:pStyle w:val="null5"/>
              <w:jc w:val="both"/>
            </w:pPr>
            <w:r>
              <w:rPr>
                <w:rFonts w:ascii="仿宋_GB2312" w:hAnsi="仿宋_GB2312" w:cs="仿宋_GB2312" w:eastAsia="仿宋_GB2312"/>
                <w:sz w:val="24"/>
              </w:rPr>
              <w:t>（三）验收总结阶段。由旗农牧和科技局牵头，相关单位和各苏木镇配合，对动物疫病防控社会化服务工作进行考核验收，根据考核结果拨付剩余服务费用。</w:t>
            </w:r>
          </w:p>
          <w:p>
            <w:pPr>
              <w:pStyle w:val="null5"/>
              <w:jc w:val="both"/>
            </w:pPr>
            <w:r>
              <w:rPr>
                <w:rFonts w:ascii="仿宋_GB2312" w:hAnsi="仿宋_GB2312" w:cs="仿宋_GB2312" w:eastAsia="仿宋_GB2312"/>
                <w:sz w:val="24"/>
              </w:rPr>
              <w:t>（四）经费支付</w:t>
            </w:r>
          </w:p>
          <w:p>
            <w:pPr>
              <w:pStyle w:val="null5"/>
              <w:jc w:val="both"/>
            </w:pPr>
            <w:r>
              <w:rPr>
                <w:rFonts w:ascii="仿宋_GB2312" w:hAnsi="仿宋_GB2312" w:cs="仿宋_GB2312" w:eastAsia="仿宋_GB2312"/>
                <w:sz w:val="24"/>
              </w:rPr>
              <w:t>考核总分</w:t>
            </w:r>
            <w:r>
              <w:rPr>
                <w:rFonts w:ascii="仿宋_GB2312" w:hAnsi="仿宋_GB2312" w:cs="仿宋_GB2312" w:eastAsia="仿宋_GB2312"/>
                <w:sz w:val="24"/>
              </w:rPr>
              <w:t>100分，考核分值80分以上（含80分）为合格，80分以下为不合格。6个苏木镇全部合格全额拨付服务费，每次考核有1个苏木镇不合格扣除服务费的5%;2个不合格扣除服务费的15%，责令整改（费用由承接主体承担），重新考核合格后，拨付扣除经费；3个以上不合格的，解除服务合同。因考核扣除经费用于动物疫病防控工作和完成其他相关工作。付款方式根据财政实际拨付情况支付。</w:t>
            </w:r>
          </w:p>
          <w:p>
            <w:pPr>
              <w:pStyle w:val="null5"/>
              <w:jc w:val="both"/>
            </w:pPr>
            <w:r>
              <w:rPr>
                <w:rFonts w:ascii="仿宋_GB2312" w:hAnsi="仿宋_GB2312" w:cs="仿宋_GB2312" w:eastAsia="仿宋_GB2312"/>
                <w:sz w:val="24"/>
              </w:rPr>
              <w:t>（三）违约责任</w:t>
            </w:r>
          </w:p>
          <w:p>
            <w:pPr>
              <w:pStyle w:val="null5"/>
              <w:jc w:val="both"/>
            </w:pPr>
            <w:r>
              <w:rPr>
                <w:rFonts w:ascii="仿宋_GB2312" w:hAnsi="仿宋_GB2312" w:cs="仿宋_GB2312" w:eastAsia="仿宋_GB2312"/>
                <w:sz w:val="24"/>
              </w:rPr>
              <w:t>承接主体因故不能完成兽医社会化服务工作的，终止合同，承担相应的经济责任，不予拨付相关费用。由属地政府完成后续社会化服务工作，费用从购买经费中支出。承接主体因工作不到位引发疫情扩散蔓延，按照相关法律法规承担相应的法律责任和经济损失。</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审查投标人2023或2024年度经会计师事务所出具的财务审计报告或其基本开户银行出具的近一年内的银行资信证明或承诺书（格式自拟）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审查投标人提供的依法缴纳税收和社会保障资金的相关材料或承诺书（格式自拟）。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递交投标（响应）文件截止时间前，供应商未被列入失信被执行人、重大税收违法失信主体 、政府采购严重违法失信行为记录名单。以信用中国网站和中国政府采购网查询为准。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不存在磋商文件要求的其他无效投标情形；不存在围标、串标和法律法规规定的其它无效投 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投标人针对本项目提供的实施方案（包括但不限于①项目实施方案；②项目实施保障措施；③服务标准；④疫病诊断准确性；⑤疫病检测及时性等）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防疫员管理方案</w:t>
            </w:r>
          </w:p>
        </w:tc>
        <w:tc>
          <w:tcPr>
            <w:tcW w:type="dxa" w:w="3115"/>
          </w:tcPr>
          <w:p>
            <w:pPr>
              <w:pStyle w:val="null5"/>
              <w:jc w:val="left"/>
            </w:pPr>
            <w:r>
              <w:rPr>
                <w:rFonts w:ascii="仿宋_GB2312" w:hAnsi="仿宋_GB2312" w:cs="仿宋_GB2312" w:eastAsia="仿宋_GB2312"/>
              </w:rPr>
              <w:t>供应商根据本项目需求提交防疫员管理方案，根据①防疫人员管理制度;②防疫人员专业培训计划（培训方式、培训内容）1、内容完整、与项目需求吻合、思路清晰、层次细化，有具体详细的阐述且符合项目要求的，每小项得7分。2、内容完整、有相关内容的阐述且符合项目要求，每小项得5分。3、内容有缺陷，方案简单,每小项得3分。4、未提供不得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根据供应商针对本项目的质量管理与措施进行评分，方案、措施包含但不限于以下内容①质量目标②质量保证体系③质量通病治理措施④服务质量保证措施等，且专门针对本项目符合本项目实际需求。1、方案措施具体详细且符合项目实际情况每项得3分。2、方案措施不详细、 内容简单、存在缺陷每项得2分。3、未提供方案不得分.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应急管理预案及措施</w:t>
            </w:r>
          </w:p>
        </w:tc>
        <w:tc>
          <w:tcPr>
            <w:tcW w:type="dxa" w:w="3115"/>
          </w:tcPr>
          <w:p>
            <w:pPr>
              <w:pStyle w:val="null5"/>
              <w:jc w:val="left"/>
            </w:pPr>
            <w:r>
              <w:rPr>
                <w:rFonts w:ascii="仿宋_GB2312" w:hAnsi="仿宋_GB2312" w:cs="仿宋_GB2312" w:eastAsia="仿宋_GB2312"/>
              </w:rPr>
              <w:t>根据投标人应急管理预案及措施包含但不限于以下内容①服务期间发生的突发事件应急预案②有效的处理措施1、内容完整、与项目需求吻合、思路清晰、层次细化，有具体详细的阐述且符合项目要求的，每小项得6分。2、内容完整、有相关内容的阐述且符合项目要求，每小项得3分。3、内容有缺陷，方案简单,每小项得1分。4、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技术服务承诺</w:t>
            </w:r>
          </w:p>
        </w:tc>
        <w:tc>
          <w:tcPr>
            <w:tcW w:type="dxa" w:w="3115"/>
          </w:tcPr>
          <w:p>
            <w:pPr>
              <w:pStyle w:val="null5"/>
              <w:jc w:val="left"/>
            </w:pPr>
            <w:r>
              <w:rPr>
                <w:rFonts w:ascii="仿宋_GB2312" w:hAnsi="仿宋_GB2312" w:cs="仿宋_GB2312" w:eastAsia="仿宋_GB2312"/>
              </w:rPr>
              <w:t>为达到防疫的质量效果并能够产生良好的社会效益，投标人根据甲方需求并结合自身能力提供针对本项目的技术服务承诺（包括但不限于①技术服务内容②服务流程及期限③响应及处置时间④回访计划）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公司业绩</w:t>
            </w:r>
          </w:p>
        </w:tc>
        <w:tc>
          <w:tcPr>
            <w:tcW w:type="dxa" w:w="3115"/>
          </w:tcPr>
          <w:p>
            <w:pPr>
              <w:pStyle w:val="null5"/>
              <w:jc w:val="left"/>
            </w:pPr>
            <w:r>
              <w:rPr>
                <w:rFonts w:ascii="仿宋_GB2312" w:hAnsi="仿宋_GB2312" w:cs="仿宋_GB2312" w:eastAsia="仿宋_GB2312"/>
              </w:rPr>
              <w:t>投标人提供2022年1月1日至今具有与本项目同类业绩的，每有1项得3分;最高得6分。（须提供中标通知书或合同扫描件，未提供不得分）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项目管理机构人员</w:t>
            </w:r>
          </w:p>
        </w:tc>
        <w:tc>
          <w:tcPr>
            <w:tcW w:type="dxa" w:w="3115"/>
          </w:tcPr>
          <w:p>
            <w:pPr>
              <w:pStyle w:val="null5"/>
              <w:jc w:val="left"/>
            </w:pPr>
            <w:r>
              <w:rPr>
                <w:rFonts w:ascii="仿宋_GB2312" w:hAnsi="仿宋_GB2312" w:cs="仿宋_GB2312" w:eastAsia="仿宋_GB2312"/>
              </w:rPr>
              <w:t>（1）提供一个执业兽医证书得4分，最多得4分；（2）每提供一个高级（包括副高）兽医师职称证书得2分，最多得4分；（3）每提供一个乡村兽医师证书得1.5分，最多得6分；不提供不得分。（要求提供相关证书扫描件)</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