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内蒙古自治区乌兰察布市三北工程林草湿荒一体保护修复项目全过程管理咨询服务</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乌兰察布市林业工作站</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内蒙古新耀工程项目管理有限公司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WSZCS-C-F-250009</w:t>
      </w:r>
    </w:p>
    <w:p>
      <w:pPr>
        <w:pStyle w:val="null5"/>
        <w:jc w:val="center"/>
      </w:pPr>
      <w:r>
        <w:rPr>
          <w:rFonts w:ascii="仿宋_GB2312" w:hAnsi="仿宋_GB2312" w:cs="仿宋_GB2312" w:eastAsia="仿宋_GB2312"/>
        </w:rPr>
        <w:t>2025年03月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内蒙古新耀工程项目管理有限公司</w:t>
      </w:r>
      <w:r>
        <w:rPr>
          <w:rFonts w:ascii="仿宋_GB2312" w:hAnsi="仿宋_GB2312" w:cs="仿宋_GB2312" w:eastAsia="仿宋_GB2312"/>
        </w:rPr>
        <w:t xml:space="preserve"> 受 </w:t>
      </w:r>
      <w:r>
        <w:rPr>
          <w:rFonts w:ascii="仿宋_GB2312" w:hAnsi="仿宋_GB2312" w:cs="仿宋_GB2312" w:eastAsia="仿宋_GB2312"/>
        </w:rPr>
        <w:t>乌兰察布市林业工作站</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内蒙古自治区乌兰察布市三北工程林草湿荒一体保护修复项目全过程管理咨询服务</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内蒙古自治区乌兰察布市三北工程林草湿荒一体保护修复项目全过程管理咨询服务</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WSZCS-C-F-250009</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乌政采计划[2025]00110</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3,039,693.62</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内蒙古自治区乌兰察布市三北工程林草湿荒一体保护修复项目全过程管理咨询服务</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3,039,693.62</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1、项目负责人：拟派项目负责人须具有审计专业中级以上（含中级）职称。</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内蒙古新耀工程项目管理有限公司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内蒙古自治区乌兰察布市集宁区三羊开泰东南角数码大厦2211</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012000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内蒙古新耀工程项目管理有限公司</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18847400988</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乌兰察布市林业工作站</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乌兰察布市新区杜尔伯特西街乌兰察布市林业和草原局</w:t>
      </w:r>
    </w:p>
    <w:p>
      <w:pPr>
        <w:pStyle w:val="null5"/>
      </w:pPr>
      <w:r>
        <w:rPr>
          <w:rFonts w:ascii="仿宋_GB2312" w:hAnsi="仿宋_GB2312" w:cs="仿宋_GB2312" w:eastAsia="仿宋_GB2312"/>
        </w:rPr>
        <w:t xml:space="preserve"> 邮编： </w:t>
      </w:r>
      <w:r>
        <w:rPr>
          <w:rFonts w:ascii="仿宋_GB2312" w:hAnsi="仿宋_GB2312" w:cs="仿宋_GB2312" w:eastAsia="仿宋_GB2312"/>
        </w:rPr>
        <w:t>012000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赵先生</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0474-8189175</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甲方按照评审报告推荐的顺序确认中标（成交）供应商。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代理服务费收费标准：暂参内工建协【2022】34号文件收费标准</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乌兰察布市林业工作站</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内蒙古新耀工程项目管理有限公司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内蒙古自治区乌兰察布市三北工程林草湿荒一体保护修复项目全过程管理咨询服务</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服务期三年</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服务地点乌兰察布市11个旗县（市区）</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1、签订合同后第一年提交阶段性全过程项目管理评估结论、年底提交全过程项目管理综合性书面报告后支付。，达到付款条件起7日，支付合同总金额的40.00%</w:t>
            </w:r>
          </w:p>
          <w:p>
            <w:pPr>
              <w:pStyle w:val="null5"/>
              <w:jc w:val="left"/>
            </w:pPr>
            <w:r>
              <w:rPr>
                <w:rFonts w:ascii="仿宋_GB2312" w:hAnsi="仿宋_GB2312" w:cs="仿宋_GB2312" w:eastAsia="仿宋_GB2312"/>
              </w:rPr>
              <w:t>2、第二年提交阶段性全过程项目管理评估结论、年底提交全过程项目管理综合性书面报告后支付。，达到付款条件起7日，支付合同总金额的30.00%</w:t>
            </w:r>
          </w:p>
          <w:p>
            <w:pPr>
              <w:pStyle w:val="null5"/>
              <w:jc w:val="left"/>
            </w:pPr>
            <w:r>
              <w:rPr>
                <w:rFonts w:ascii="仿宋_GB2312" w:hAnsi="仿宋_GB2312" w:cs="仿宋_GB2312" w:eastAsia="仿宋_GB2312"/>
              </w:rPr>
              <w:t>3、第三年提交阶段性全过程项目管理评估结论、年底提交全过程项目管理综合性书面报告后支付。，达到付款条件起7日，支付合同总金额的30.00%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标的名称：内蒙古自治区乌兰察布市三北工程林草湿荒一体保护修复项目全过程管理咨询服务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b/>
                <w:color w:val="000000"/>
              </w:rPr>
              <w:t>服务内容：</w:t>
            </w:r>
          </w:p>
          <w:p>
            <w:pPr>
              <w:pStyle w:val="null5"/>
              <w:spacing w:after="120"/>
              <w:jc w:val="both"/>
            </w:pPr>
            <w:r>
              <w:rPr>
                <w:rFonts w:ascii="仿宋_GB2312" w:hAnsi="仿宋_GB2312" w:cs="仿宋_GB2312" w:eastAsia="仿宋_GB2312"/>
                <w:sz w:val="24"/>
                <w:b/>
                <w:color w:val="000000"/>
              </w:rPr>
              <w:t>第一部分：项目管理（工程量跟踪审计）全过程服务内容如下：</w:t>
            </w:r>
          </w:p>
          <w:p>
            <w:pPr>
              <w:pStyle w:val="null5"/>
              <w:jc w:val="both"/>
            </w:pPr>
            <w:r>
              <w:rPr>
                <w:rFonts w:ascii="仿宋_GB2312" w:hAnsi="仿宋_GB2312" w:cs="仿宋_GB2312" w:eastAsia="仿宋_GB2312"/>
                <w:sz w:val="24"/>
                <w:b/>
              </w:rPr>
              <w:t>一：项目建设准备阶段</w:t>
            </w:r>
          </w:p>
          <w:p>
            <w:pPr>
              <w:pStyle w:val="null5"/>
              <w:jc w:val="both"/>
            </w:pPr>
            <w:r>
              <w:rPr>
                <w:rFonts w:ascii="仿宋_GB2312" w:hAnsi="仿宋_GB2312" w:cs="仿宋_GB2312" w:eastAsia="仿宋_GB2312"/>
                <w:sz w:val="24"/>
              </w:rPr>
              <w:t>1.收集，核对该阶段的相关文本及审批手续。</w:t>
            </w:r>
          </w:p>
          <w:p>
            <w:pPr>
              <w:pStyle w:val="null5"/>
              <w:jc w:val="both"/>
            </w:pPr>
            <w:r>
              <w:rPr>
                <w:rFonts w:ascii="仿宋_GB2312" w:hAnsi="仿宋_GB2312" w:cs="仿宋_GB2312" w:eastAsia="仿宋_GB2312"/>
                <w:sz w:val="24"/>
              </w:rPr>
              <w:t>2.对批复文件合法性，合规性，合理性进行审查。</w:t>
            </w:r>
          </w:p>
          <w:p>
            <w:pPr>
              <w:pStyle w:val="null5"/>
              <w:jc w:val="both"/>
            </w:pPr>
            <w:r>
              <w:rPr>
                <w:rFonts w:ascii="仿宋_GB2312" w:hAnsi="仿宋_GB2312" w:cs="仿宋_GB2312" w:eastAsia="仿宋_GB2312"/>
                <w:sz w:val="24"/>
              </w:rPr>
              <w:t>3.根据相关审批材料制定台账。</w:t>
            </w:r>
          </w:p>
          <w:p>
            <w:pPr>
              <w:pStyle w:val="null5"/>
              <w:jc w:val="both"/>
            </w:pPr>
            <w:r>
              <w:rPr>
                <w:rFonts w:ascii="仿宋_GB2312" w:hAnsi="仿宋_GB2312" w:cs="仿宋_GB2312" w:eastAsia="仿宋_GB2312"/>
                <w:sz w:val="24"/>
                <w:b/>
              </w:rPr>
              <w:t>二：项目建设实施阶段</w:t>
            </w:r>
          </w:p>
          <w:p>
            <w:pPr>
              <w:pStyle w:val="null5"/>
              <w:jc w:val="both"/>
            </w:pPr>
            <w:r>
              <w:rPr>
                <w:rFonts w:ascii="仿宋_GB2312" w:hAnsi="仿宋_GB2312" w:cs="仿宋_GB2312" w:eastAsia="仿宋_GB2312"/>
                <w:sz w:val="24"/>
              </w:rPr>
              <w:t>1、完成设计准备阶段的相关工作，</w:t>
            </w:r>
            <w:r>
              <w:rPr>
                <w:rFonts w:ascii="仿宋_GB2312" w:hAnsi="仿宋_GB2312" w:cs="仿宋_GB2312" w:eastAsia="仿宋_GB2312"/>
                <w:sz w:val="24"/>
              </w:rPr>
              <w:t>负责组织项目的设计管理工作。编制各阶段各专业的设计任务书和技术要求</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2、对各个设计阶段的图纸深度进行审核，</w:t>
            </w:r>
            <w:r>
              <w:rPr>
                <w:rFonts w:ascii="仿宋_GB2312" w:hAnsi="仿宋_GB2312" w:cs="仿宋_GB2312" w:eastAsia="仿宋_GB2312"/>
                <w:sz w:val="24"/>
              </w:rPr>
              <w:t>以及方案设计及施工图出图管理</w:t>
            </w:r>
            <w:r>
              <w:rPr>
                <w:rFonts w:ascii="仿宋_GB2312" w:hAnsi="仿宋_GB2312" w:cs="仿宋_GB2312" w:eastAsia="仿宋_GB2312"/>
                <w:sz w:val="24"/>
              </w:rPr>
              <w:t>，</w:t>
            </w:r>
            <w:r>
              <w:rPr>
                <w:rFonts w:ascii="仿宋_GB2312" w:hAnsi="仿宋_GB2312" w:cs="仿宋_GB2312" w:eastAsia="仿宋_GB2312"/>
                <w:sz w:val="24"/>
              </w:rPr>
              <w:t>办理施工图审查，及时取得施工图审查合格意见。</w:t>
            </w:r>
          </w:p>
          <w:p>
            <w:pPr>
              <w:pStyle w:val="null5"/>
              <w:jc w:val="both"/>
            </w:pPr>
            <w:r>
              <w:rPr>
                <w:rFonts w:ascii="仿宋_GB2312" w:hAnsi="仿宋_GB2312" w:cs="仿宋_GB2312" w:eastAsia="仿宋_GB2312"/>
                <w:sz w:val="24"/>
              </w:rPr>
              <w:t>3、</w:t>
            </w:r>
            <w:r>
              <w:rPr>
                <w:rFonts w:ascii="仿宋_GB2312" w:hAnsi="仿宋_GB2312" w:cs="仿宋_GB2312" w:eastAsia="仿宋_GB2312"/>
                <w:sz w:val="24"/>
              </w:rPr>
              <w:t>严格控制设计变更和技术治商，组织审核变更造价。审核并签署竣工图。及时联系设计单位，处理设计问题。负贵组织设计会审及技术交底，组织设计方案评审工作。</w:t>
            </w:r>
          </w:p>
          <w:p>
            <w:pPr>
              <w:pStyle w:val="null5"/>
              <w:jc w:val="both"/>
            </w:pPr>
            <w:r>
              <w:rPr>
                <w:rFonts w:ascii="仿宋_GB2312" w:hAnsi="仿宋_GB2312" w:cs="仿宋_GB2312" w:eastAsia="仿宋_GB2312"/>
                <w:sz w:val="24"/>
              </w:rPr>
              <w:t>4、拟定</w:t>
            </w:r>
            <w:r>
              <w:rPr>
                <w:rFonts w:ascii="仿宋_GB2312" w:hAnsi="仿宋_GB2312" w:cs="仿宋_GB2312" w:eastAsia="仿宋_GB2312"/>
                <w:sz w:val="24"/>
              </w:rPr>
              <w:t>材料和配套设备采购招标工作。</w:t>
            </w:r>
            <w:r>
              <w:rPr>
                <w:rFonts w:ascii="仿宋_GB2312" w:hAnsi="仿宋_GB2312" w:cs="仿宋_GB2312" w:eastAsia="仿宋_GB2312"/>
                <w:sz w:val="24"/>
              </w:rPr>
              <w:t>收集相关招投标资料，审核相关资料，并做好记录计划及招标形式。</w:t>
            </w:r>
          </w:p>
          <w:p>
            <w:pPr>
              <w:pStyle w:val="null5"/>
              <w:jc w:val="both"/>
            </w:pPr>
            <w:r>
              <w:rPr>
                <w:rFonts w:ascii="仿宋_GB2312" w:hAnsi="仿宋_GB2312" w:cs="仿宋_GB2312" w:eastAsia="仿宋_GB2312"/>
                <w:sz w:val="24"/>
              </w:rPr>
              <w:t>5、对各参建单位的合同形式、内容进行审核。</w:t>
            </w:r>
          </w:p>
          <w:p>
            <w:pPr>
              <w:pStyle w:val="null5"/>
              <w:jc w:val="both"/>
            </w:pPr>
            <w:r>
              <w:rPr>
                <w:rFonts w:ascii="仿宋_GB2312" w:hAnsi="仿宋_GB2312" w:cs="仿宋_GB2312" w:eastAsia="仿宋_GB2312"/>
                <w:sz w:val="24"/>
              </w:rPr>
              <w:t>6、对跟参建单位的履约情况进行审查，对施工单位、监理单位进度及支付进行审核，特别实在施工过程中的技术洽商，设计变更，工作联系单，工程签证等涉及到量、价调整的内容做好过程把控，并做好记录。</w:t>
            </w:r>
          </w:p>
          <w:p>
            <w:pPr>
              <w:pStyle w:val="null5"/>
              <w:jc w:val="both"/>
            </w:pPr>
            <w:r>
              <w:rPr>
                <w:rFonts w:ascii="仿宋_GB2312" w:hAnsi="仿宋_GB2312" w:cs="仿宋_GB2312" w:eastAsia="仿宋_GB2312"/>
                <w:sz w:val="24"/>
              </w:rPr>
              <w:t>7、组织图纸会审，协调会，参加监理例会，安全例会等会议。</w:t>
            </w:r>
          </w:p>
          <w:p>
            <w:pPr>
              <w:pStyle w:val="null5"/>
              <w:jc w:val="both"/>
            </w:pPr>
            <w:r>
              <w:rPr>
                <w:rFonts w:ascii="仿宋_GB2312" w:hAnsi="仿宋_GB2312" w:cs="仿宋_GB2312" w:eastAsia="仿宋_GB2312"/>
                <w:sz w:val="24"/>
              </w:rPr>
              <w:t>8、对施工进度进行严格把控，出现滞后进度偏差，及时做好纠偏分析，并协商确定纠偏计划。</w:t>
            </w:r>
          </w:p>
          <w:p>
            <w:pPr>
              <w:pStyle w:val="null5"/>
              <w:jc w:val="both"/>
            </w:pPr>
            <w:r>
              <w:rPr>
                <w:rFonts w:ascii="仿宋_GB2312" w:hAnsi="仿宋_GB2312" w:cs="仿宋_GB2312" w:eastAsia="仿宋_GB2312"/>
                <w:sz w:val="24"/>
              </w:rPr>
              <w:t>9、协助监理单位对各施工单位所修复、抚育的林草成活率进行严格质量把控。</w:t>
            </w:r>
          </w:p>
          <w:p>
            <w:pPr>
              <w:pStyle w:val="null5"/>
              <w:jc w:val="left"/>
            </w:pPr>
            <w:r>
              <w:rPr>
                <w:rFonts w:ascii="仿宋_GB2312" w:hAnsi="仿宋_GB2312" w:cs="仿宋_GB2312" w:eastAsia="仿宋_GB2312"/>
                <w:sz w:val="24"/>
              </w:rPr>
              <w:t>10、</w:t>
            </w:r>
            <w:r>
              <w:rPr>
                <w:rFonts w:ascii="仿宋_GB2312" w:hAnsi="仿宋_GB2312" w:cs="仿宋_GB2312" w:eastAsia="仿宋_GB2312"/>
                <w:sz w:val="24"/>
              </w:rPr>
              <w:t>参与进行建设项目有关经济分析、专项评估与投资确定</w:t>
            </w:r>
            <w:r>
              <w:rPr>
                <w:rFonts w:ascii="仿宋_GB2312" w:hAnsi="仿宋_GB2312" w:cs="仿宋_GB2312" w:eastAsia="仿宋_GB2312"/>
                <w:sz w:val="24"/>
              </w:rPr>
              <w:t>；</w:t>
            </w:r>
            <w:r>
              <w:rPr>
                <w:rFonts w:ascii="仿宋_GB2312" w:hAnsi="仿宋_GB2312" w:cs="仿宋_GB2312" w:eastAsia="仿宋_GB2312"/>
                <w:sz w:val="24"/>
              </w:rPr>
              <w:t>负责组织进行工程技术经济方案比选。组织工程竣工结算，配合工程结算，组织处理工程索赔。审核施工单位施工组织设计及专项施工方案，负责组织对涉及到造价增减内容进行审核。</w:t>
            </w:r>
          </w:p>
          <w:p>
            <w:pPr>
              <w:pStyle w:val="null5"/>
              <w:jc w:val="left"/>
            </w:pPr>
            <w:r>
              <w:rPr>
                <w:rFonts w:ascii="仿宋_GB2312" w:hAnsi="仿宋_GB2312" w:cs="仿宋_GB2312" w:eastAsia="仿宋_GB2312"/>
                <w:sz w:val="24"/>
              </w:rPr>
              <w:t>11</w:t>
            </w:r>
            <w:r>
              <w:rPr>
                <w:rFonts w:ascii="仿宋_GB2312" w:hAnsi="仿宋_GB2312" w:cs="仿宋_GB2312" w:eastAsia="仿宋_GB2312"/>
                <w:sz w:val="24"/>
              </w:rPr>
              <w:t>、编制总进度计划，经甲方审核后严格执行，并监督参建单位完成计划。</w:t>
            </w:r>
          </w:p>
          <w:p>
            <w:pPr>
              <w:pStyle w:val="null5"/>
              <w:jc w:val="left"/>
            </w:pPr>
            <w:r>
              <w:rPr>
                <w:rFonts w:ascii="仿宋_GB2312" w:hAnsi="仿宋_GB2312" w:cs="仿宋_GB2312" w:eastAsia="仿宋_GB2312"/>
                <w:sz w:val="24"/>
              </w:rPr>
              <w:t>12</w:t>
            </w:r>
            <w:r>
              <w:rPr>
                <w:rFonts w:ascii="仿宋_GB2312" w:hAnsi="仿宋_GB2312" w:cs="仿宋_GB2312" w:eastAsia="仿宋_GB2312"/>
                <w:sz w:val="24"/>
              </w:rPr>
              <w:t>、编制项目管理实施方案，经甲方审核后严格执行。按时提交年度或阶段性计划及总结，每月提交项目管理月报，竣工验收后提交项目管理总结。</w:t>
            </w:r>
          </w:p>
          <w:p>
            <w:pPr>
              <w:pStyle w:val="null5"/>
              <w:jc w:val="both"/>
            </w:pPr>
            <w:r>
              <w:rPr>
                <w:rFonts w:ascii="仿宋_GB2312" w:hAnsi="仿宋_GB2312" w:cs="仿宋_GB2312" w:eastAsia="仿宋_GB2312"/>
                <w:sz w:val="24"/>
              </w:rPr>
              <w:t>13</w:t>
            </w:r>
            <w:r>
              <w:rPr>
                <w:rFonts w:ascii="仿宋_GB2312" w:hAnsi="仿宋_GB2312" w:cs="仿宋_GB2312" w:eastAsia="仿宋_GB2312"/>
                <w:sz w:val="24"/>
              </w:rPr>
              <w:t>、参加监理例会，</w:t>
            </w:r>
            <w:r>
              <w:rPr>
                <w:rFonts w:ascii="仿宋_GB2312" w:hAnsi="仿宋_GB2312" w:cs="仿宋_GB2312" w:eastAsia="仿宋_GB2312"/>
                <w:sz w:val="24"/>
              </w:rPr>
              <w:t>组织图纸会审，</w:t>
            </w:r>
            <w:r>
              <w:rPr>
                <w:rFonts w:ascii="仿宋_GB2312" w:hAnsi="仿宋_GB2312" w:cs="仿宋_GB2312" w:eastAsia="仿宋_GB2312"/>
                <w:sz w:val="24"/>
              </w:rPr>
              <w:t>组织各项专题会议</w:t>
            </w:r>
            <w:r>
              <w:rPr>
                <w:rFonts w:ascii="仿宋_GB2312" w:hAnsi="仿宋_GB2312" w:cs="仿宋_GB2312" w:eastAsia="仿宋_GB2312"/>
                <w:sz w:val="24"/>
              </w:rPr>
              <w:t>，</w:t>
            </w:r>
            <w:r>
              <w:rPr>
                <w:rFonts w:ascii="仿宋_GB2312" w:hAnsi="仿宋_GB2312" w:cs="仿宋_GB2312" w:eastAsia="仿宋_GB2312"/>
                <w:sz w:val="24"/>
              </w:rPr>
              <w:t>协调内部</w:t>
            </w:r>
            <w:r>
              <w:rPr>
                <w:rFonts w:ascii="仿宋_GB2312" w:hAnsi="仿宋_GB2312" w:cs="仿宋_GB2312" w:eastAsia="仿宋_GB2312"/>
                <w:sz w:val="24"/>
              </w:rPr>
              <w:t>，</w:t>
            </w:r>
            <w:r>
              <w:rPr>
                <w:rFonts w:ascii="仿宋_GB2312" w:hAnsi="仿宋_GB2312" w:cs="仿宋_GB2312" w:eastAsia="仿宋_GB2312"/>
                <w:sz w:val="24"/>
              </w:rPr>
              <w:t>外部关系，</w:t>
            </w:r>
            <w:r>
              <w:rPr>
                <w:rFonts w:ascii="仿宋_GB2312" w:hAnsi="仿宋_GB2312" w:cs="仿宋_GB2312" w:eastAsia="仿宋_GB2312"/>
                <w:sz w:val="24"/>
              </w:rPr>
              <w:t>安全例会等会议</w:t>
            </w:r>
            <w:r>
              <w:rPr>
                <w:rFonts w:ascii="仿宋_GB2312" w:hAnsi="仿宋_GB2312" w:cs="仿宋_GB2312" w:eastAsia="仿宋_GB2312"/>
                <w:sz w:val="24"/>
              </w:rPr>
              <w:t>保证项目顺利实施。</w:t>
            </w:r>
          </w:p>
          <w:p>
            <w:pPr>
              <w:pStyle w:val="null5"/>
              <w:jc w:val="both"/>
            </w:pPr>
            <w:r>
              <w:rPr>
                <w:rFonts w:ascii="仿宋_GB2312" w:hAnsi="仿宋_GB2312" w:cs="仿宋_GB2312" w:eastAsia="仿宋_GB2312"/>
                <w:sz w:val="24"/>
                <w:b/>
              </w:rPr>
              <w:t>三：使用阶段</w:t>
            </w:r>
          </w:p>
          <w:p>
            <w:pPr>
              <w:pStyle w:val="null5"/>
              <w:jc w:val="both"/>
            </w:pPr>
            <w:r>
              <w:rPr>
                <w:rFonts w:ascii="仿宋_GB2312" w:hAnsi="仿宋_GB2312" w:cs="仿宋_GB2312" w:eastAsia="仿宋_GB2312"/>
                <w:sz w:val="24"/>
              </w:rPr>
              <w:t>1、协助建设单位完成项目决算工作。</w:t>
            </w:r>
          </w:p>
          <w:p>
            <w:pPr>
              <w:pStyle w:val="null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对参建各方档案资料进行管理。向甲方移交全套装订成册的竣工档案资料</w:t>
            </w:r>
            <w:r>
              <w:rPr>
                <w:rFonts w:ascii="仿宋_GB2312" w:hAnsi="仿宋_GB2312" w:cs="仿宋_GB2312" w:eastAsia="仿宋_GB2312"/>
                <w:sz w:val="24"/>
              </w:rPr>
              <w:t>(含电子资料)。</w:t>
            </w:r>
          </w:p>
          <w:p>
            <w:pPr>
              <w:pStyle w:val="null5"/>
              <w:jc w:val="left"/>
            </w:pPr>
            <w:r>
              <w:rPr>
                <w:rFonts w:ascii="仿宋_GB2312" w:hAnsi="仿宋_GB2312" w:cs="仿宋_GB2312" w:eastAsia="仿宋_GB2312"/>
                <w:sz w:val="24"/>
              </w:rPr>
              <w:t>3</w:t>
            </w:r>
            <w:r>
              <w:rPr>
                <w:rFonts w:ascii="仿宋_GB2312" w:hAnsi="仿宋_GB2312" w:cs="仿宋_GB2312" w:eastAsia="仿宋_GB2312"/>
                <w:sz w:val="24"/>
              </w:rPr>
              <w:t>、按时完成项目开工、复工的各项准备工作。</w:t>
            </w:r>
          </w:p>
          <w:p>
            <w:pPr>
              <w:pStyle w:val="null5"/>
              <w:jc w:val="left"/>
            </w:pPr>
            <w:r>
              <w:rPr>
                <w:rFonts w:ascii="仿宋_GB2312" w:hAnsi="仿宋_GB2312" w:cs="仿宋_GB2312" w:eastAsia="仿宋_GB2312"/>
                <w:sz w:val="24"/>
              </w:rPr>
              <w:t>4、负责阶段性验收及竣工最终验收，（最终竣工验收须具备与项目相关专业类专家验收）。</w:t>
            </w:r>
          </w:p>
          <w:p>
            <w:pPr>
              <w:pStyle w:val="null5"/>
              <w:jc w:val="both"/>
            </w:pPr>
            <w:r>
              <w:rPr>
                <w:rFonts w:ascii="仿宋_GB2312" w:hAnsi="仿宋_GB2312" w:cs="仿宋_GB2312" w:eastAsia="仿宋_GB2312"/>
                <w:sz w:val="24"/>
                <w:b/>
                <w:color w:val="000000"/>
              </w:rPr>
              <w:t>第二部分：</w:t>
            </w:r>
            <w:r>
              <w:rPr>
                <w:rFonts w:ascii="仿宋_GB2312" w:hAnsi="仿宋_GB2312" w:cs="仿宋_GB2312" w:eastAsia="仿宋_GB2312"/>
                <w:sz w:val="24"/>
                <w:b/>
                <w:color w:val="000000"/>
              </w:rPr>
              <w:t>项目管理（财务</w:t>
            </w:r>
            <w:r>
              <w:rPr>
                <w:rFonts w:ascii="仿宋_GB2312" w:hAnsi="仿宋_GB2312" w:cs="仿宋_GB2312" w:eastAsia="仿宋_GB2312"/>
                <w:sz w:val="24"/>
                <w:b/>
              </w:rPr>
              <w:t>绩效评估</w:t>
            </w:r>
            <w:r>
              <w:rPr>
                <w:rFonts w:ascii="仿宋_GB2312" w:hAnsi="仿宋_GB2312" w:cs="仿宋_GB2312" w:eastAsia="仿宋_GB2312"/>
                <w:sz w:val="24"/>
                <w:b/>
              </w:rPr>
              <w:t>、</w:t>
            </w:r>
            <w:r>
              <w:rPr>
                <w:rFonts w:ascii="仿宋_GB2312" w:hAnsi="仿宋_GB2312" w:cs="仿宋_GB2312" w:eastAsia="仿宋_GB2312"/>
                <w:sz w:val="24"/>
                <w:b/>
              </w:rPr>
              <w:t>绩效运行监控</w:t>
            </w:r>
            <w:r>
              <w:rPr>
                <w:rFonts w:ascii="仿宋_GB2312" w:hAnsi="仿宋_GB2312" w:cs="仿宋_GB2312" w:eastAsia="仿宋_GB2312"/>
                <w:sz w:val="24"/>
                <w:b/>
              </w:rPr>
              <w:t>、</w:t>
            </w:r>
            <w:r>
              <w:rPr>
                <w:rFonts w:ascii="仿宋_GB2312" w:hAnsi="仿宋_GB2312" w:cs="仿宋_GB2312" w:eastAsia="仿宋_GB2312"/>
                <w:sz w:val="24"/>
                <w:b/>
              </w:rPr>
              <w:t>项目绩效评价</w:t>
            </w:r>
            <w:r>
              <w:rPr>
                <w:rFonts w:ascii="仿宋_GB2312" w:hAnsi="仿宋_GB2312" w:cs="仿宋_GB2312" w:eastAsia="仿宋_GB2312"/>
                <w:sz w:val="24"/>
                <w:b/>
                <w:color w:val="000000"/>
              </w:rPr>
              <w:t>）全过程服务内容如下：</w:t>
            </w:r>
          </w:p>
          <w:p>
            <w:pPr>
              <w:pStyle w:val="null5"/>
              <w:jc w:val="both"/>
            </w:pPr>
            <w:r>
              <w:rPr>
                <w:rFonts w:ascii="仿宋_GB2312" w:hAnsi="仿宋_GB2312" w:cs="仿宋_GB2312" w:eastAsia="仿宋_GB2312"/>
                <w:sz w:val="24"/>
              </w:rPr>
              <w:t>一、技术要求</w:t>
            </w:r>
          </w:p>
          <w:p>
            <w:pPr>
              <w:pStyle w:val="null5"/>
              <w:jc w:val="both"/>
            </w:pPr>
            <w:r>
              <w:rPr>
                <w:rFonts w:ascii="仿宋_GB2312" w:hAnsi="仿宋_GB2312" w:cs="仿宋_GB2312" w:eastAsia="仿宋_GB2312"/>
                <w:sz w:val="24"/>
              </w:rPr>
              <w:t>1、成立专门的事前绩效评估小组。</w:t>
            </w:r>
          </w:p>
          <w:p>
            <w:pPr>
              <w:pStyle w:val="null5"/>
              <w:jc w:val="both"/>
            </w:pPr>
            <w:r>
              <w:rPr>
                <w:rFonts w:ascii="仿宋_GB2312" w:hAnsi="仿宋_GB2312" w:cs="仿宋_GB2312" w:eastAsia="仿宋_GB2312"/>
                <w:sz w:val="24"/>
              </w:rPr>
              <w:t>2、事前绩效评估小组从项目管理、实施单</w:t>
            </w:r>
            <w:r>
              <w:rPr>
                <w:rFonts w:ascii="仿宋_GB2312" w:hAnsi="仿宋_GB2312" w:cs="仿宋_GB2312" w:eastAsia="仿宋_GB2312"/>
                <w:sz w:val="24"/>
              </w:rPr>
              <w:t>位收集资料。主要包括但不限于：</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1）项目相关政策文件（包括国家级、自治区级、市级相关政策文件）；</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2）项目相关管理制度（包括但不限于财务管理制度、资金使用管理办法、项目管理制度、人员及推进组保障制度等）；</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3）项目建议书及批复、项目可行性研究及批复、项目预算书及财政评审批复、用地审批、环评批复等行政部门审批或备案资料；</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4）资金使用信息公开、公告公示和媒体宣传等资料（能够体现项目实施产生的社会效益及影响的资料）；</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5）项目绩效工作开展情况的资料（包括但不限于绩效目标表（分年度及子项目）、绩效监控表、绩效自评表及绩效自评报告）；</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6）项目资金分配明细表（以子项目、资金来源分类），及相关会议决策资料；</w:t>
            </w:r>
          </w:p>
          <w:p>
            <w:pPr>
              <w:pStyle w:val="null5"/>
              <w:jc w:val="both"/>
            </w:pPr>
            <w:r>
              <w:rPr>
                <w:rFonts w:ascii="仿宋_GB2312" w:hAnsi="仿宋_GB2312" w:cs="仿宋_GB2312" w:eastAsia="仿宋_GB2312"/>
                <w:sz w:val="24"/>
              </w:rPr>
              <w:t>针对该项目情况进行多角度分析，明确事前绩效</w:t>
            </w:r>
            <w:r>
              <w:rPr>
                <w:rFonts w:ascii="仿宋_GB2312" w:hAnsi="仿宋_GB2312" w:cs="仿宋_GB2312" w:eastAsia="仿宋_GB2312"/>
                <w:sz w:val="24"/>
              </w:rPr>
              <w:t>评估的目的、对象、依据、原</w:t>
            </w:r>
            <w:r>
              <w:rPr>
                <w:rFonts w:ascii="仿宋_GB2312" w:hAnsi="仿宋_GB2312" w:cs="仿宋_GB2312" w:eastAsia="仿宋_GB2312"/>
                <w:sz w:val="24"/>
              </w:rPr>
              <w:t>则、内容及重点。</w:t>
            </w:r>
          </w:p>
          <w:p>
            <w:pPr>
              <w:pStyle w:val="null5"/>
              <w:jc w:val="both"/>
            </w:pPr>
            <w:r>
              <w:rPr>
                <w:rFonts w:ascii="仿宋_GB2312" w:hAnsi="仿宋_GB2312" w:cs="仿宋_GB2312" w:eastAsia="仿宋_GB2312"/>
                <w:sz w:val="24"/>
              </w:rPr>
              <w:t>3、详细分析有关事前评估的重点内容。绩效评估小组成</w:t>
            </w:r>
            <w:r>
              <w:rPr>
                <w:rFonts w:ascii="仿宋_GB2312" w:hAnsi="仿宋_GB2312" w:cs="仿宋_GB2312" w:eastAsia="仿宋_GB2312"/>
                <w:sz w:val="24"/>
              </w:rPr>
              <w:t>员通过多次综合讨论，形成初</w:t>
            </w:r>
            <w:r>
              <w:rPr>
                <w:rFonts w:ascii="仿宋_GB2312" w:hAnsi="仿宋_GB2312" w:cs="仿宋_GB2312" w:eastAsia="仿宋_GB2312"/>
                <w:sz w:val="24"/>
              </w:rPr>
              <w:t>步评估意见，并和项目管理单位沟通交换意见，形成评估结论。</w:t>
            </w:r>
          </w:p>
          <w:p>
            <w:pPr>
              <w:pStyle w:val="null5"/>
              <w:spacing w:after="120"/>
              <w:jc w:val="both"/>
            </w:pPr>
            <w:r>
              <w:rPr>
                <w:rFonts w:ascii="仿宋_GB2312" w:hAnsi="仿宋_GB2312" w:cs="仿宋_GB2312" w:eastAsia="仿宋_GB2312"/>
                <w:sz w:val="24"/>
              </w:rPr>
              <w:t>4、根据事前绩效评估小组</w:t>
            </w:r>
            <w:r>
              <w:rPr>
                <w:rFonts w:ascii="仿宋_GB2312" w:hAnsi="仿宋_GB2312" w:cs="仿宋_GB2312" w:eastAsia="仿宋_GB2312"/>
                <w:sz w:val="24"/>
              </w:rPr>
              <w:t>对收集的文件资料进行的</w:t>
            </w:r>
            <w:r>
              <w:rPr>
                <w:rFonts w:ascii="仿宋_GB2312" w:hAnsi="仿宋_GB2312" w:cs="仿宋_GB2312" w:eastAsia="仿宋_GB2312"/>
                <w:sz w:val="24"/>
              </w:rPr>
              <w:t>研究、对现场整体情况的核查以及对管理人员询问等情况的汇总分析，结合项目支出指</w:t>
            </w:r>
            <w:r>
              <w:rPr>
                <w:rFonts w:ascii="仿宋_GB2312" w:hAnsi="仿宋_GB2312" w:cs="仿宋_GB2312" w:eastAsia="仿宋_GB2312"/>
                <w:sz w:val="24"/>
              </w:rPr>
              <w:t>标体系进行评分，最终形成</w:t>
            </w:r>
            <w:r>
              <w:rPr>
                <w:rFonts w:ascii="仿宋_GB2312" w:hAnsi="仿宋_GB2312" w:cs="仿宋_GB2312" w:eastAsia="仿宋_GB2312"/>
                <w:sz w:val="24"/>
              </w:rPr>
              <w:t>综合性的书面报告。</w:t>
            </w:r>
          </w:p>
          <w:p>
            <w:pPr>
              <w:pStyle w:val="null5"/>
              <w:jc w:val="both"/>
            </w:pPr>
            <w:r>
              <w:rPr>
                <w:rFonts w:ascii="仿宋_GB2312" w:hAnsi="仿宋_GB2312" w:cs="仿宋_GB2312" w:eastAsia="仿宋_GB2312"/>
                <w:sz w:val="24"/>
              </w:rPr>
              <w:t>二、</w:t>
            </w:r>
            <w:r>
              <w:rPr>
                <w:rFonts w:ascii="仿宋_GB2312" w:hAnsi="仿宋_GB2312" w:cs="仿宋_GB2312" w:eastAsia="仿宋_GB2312"/>
                <w:sz w:val="24"/>
              </w:rPr>
              <w:t>评估思路：</w:t>
            </w:r>
          </w:p>
          <w:p>
            <w:pPr>
              <w:pStyle w:val="null5"/>
              <w:spacing w:after="60"/>
              <w:ind w:left="75" w:right="30" w:firstLine="484"/>
              <w:jc w:val="left"/>
            </w:pPr>
            <w:r>
              <w:rPr>
                <w:rFonts w:ascii="仿宋_GB2312" w:hAnsi="仿宋_GB2312" w:cs="仿宋_GB2312" w:eastAsia="仿宋_GB2312"/>
                <w:sz w:val="24"/>
              </w:rPr>
              <w:t>首先绩效评估小组从项目管理、实施单位收集资料，包括项目政策依据、批复文件、可行性研究报告、财务管理制度、业务管理制度、招投标备案资料、施工图设计文件及审查报告、专项资金管理办法等相关文件，针对该项目情况进行多角度分析，明确事前绩效评估的目的、对象、依据、原则、内容及重点。其次，详细分析有关事前评估的重点内容。最后，绩效评估小组成员通过多次综合讨论，形成评估结论。</w:t>
            </w:r>
          </w:p>
          <w:p>
            <w:pPr>
              <w:pStyle w:val="null5"/>
              <w:spacing w:before="60"/>
              <w:ind w:left="60" w:right="120"/>
              <w:jc w:val="left"/>
            </w:pPr>
            <w:r>
              <w:rPr>
                <w:rFonts w:ascii="仿宋_GB2312" w:hAnsi="仿宋_GB2312" w:cs="仿宋_GB2312" w:eastAsia="仿宋_GB2312"/>
                <w:sz w:val="24"/>
              </w:rPr>
              <w:t>三、</w:t>
            </w:r>
            <w:r>
              <w:rPr>
                <w:rFonts w:ascii="仿宋_GB2312" w:hAnsi="仿宋_GB2312" w:cs="仿宋_GB2312" w:eastAsia="仿宋_GB2312"/>
                <w:sz w:val="24"/>
              </w:rPr>
              <w:t>评估重点：</w:t>
            </w:r>
          </w:p>
          <w:p>
            <w:pPr>
              <w:pStyle w:val="null5"/>
              <w:spacing w:before="60"/>
              <w:ind w:left="60" w:right="120"/>
              <w:jc w:val="left"/>
            </w:pPr>
            <w:r>
              <w:rPr>
                <w:rFonts w:ascii="仿宋_GB2312" w:hAnsi="仿宋_GB2312" w:cs="仿宋_GB2312" w:eastAsia="仿宋_GB2312"/>
                <w:sz w:val="24"/>
              </w:rPr>
              <w:t>1、绩效目标合理性。评估项目是否有明确的绩效目标，绩效目标是否与部门单位的职责和中长期规划目标、年度工作目标相匹配，是否能够准确衡量实际工作的需要，绩效目标的产出和效益是否明确合规、合理、可行、是否细化量化。是否具有前瞻性。</w:t>
            </w:r>
          </w:p>
          <w:p>
            <w:pPr>
              <w:pStyle w:val="null5"/>
              <w:spacing w:before="60"/>
              <w:ind w:left="60" w:right="120"/>
              <w:jc w:val="left"/>
            </w:pPr>
            <w:r>
              <w:rPr>
                <w:rFonts w:ascii="仿宋_GB2312" w:hAnsi="仿宋_GB2312" w:cs="仿宋_GB2312" w:eastAsia="仿宋_GB2312"/>
                <w:sz w:val="24"/>
              </w:rPr>
              <w:t>2、项目预算科学性。主要评估项目预算编制是否符合预算管理、地方政府债务管理等相关规定，依据是否充分，费用测算标准是否合理等。</w:t>
            </w:r>
          </w:p>
          <w:p>
            <w:pPr>
              <w:pStyle w:val="null5"/>
              <w:spacing w:before="60"/>
              <w:ind w:left="60" w:right="120"/>
              <w:jc w:val="left"/>
            </w:pPr>
            <w:r>
              <w:rPr>
                <w:rFonts w:ascii="仿宋_GB2312" w:hAnsi="仿宋_GB2312" w:cs="仿宋_GB2312" w:eastAsia="仿宋_GB2312"/>
                <w:sz w:val="24"/>
              </w:rPr>
              <w:t>3、立项必要性。评估项目申请立项依据是否充分，是否符合自治区党委、政府重大决策部署，是否符合国民经济和社会发展规划，是否符合“集中财力办大事”财政政策体系要求，是否有明显的经济、社会、生态效益和可持续影响。</w:t>
            </w:r>
          </w:p>
          <w:p>
            <w:pPr>
              <w:pStyle w:val="null5"/>
              <w:spacing w:before="60"/>
              <w:ind w:left="60" w:right="120"/>
              <w:jc w:val="left"/>
            </w:pPr>
            <w:r>
              <w:rPr>
                <w:rFonts w:ascii="仿宋_GB2312" w:hAnsi="仿宋_GB2312" w:cs="仿宋_GB2312" w:eastAsia="仿宋_GB2312"/>
                <w:sz w:val="24"/>
              </w:rPr>
              <w:t>4、实施方案可行性。评估立项实施的方案是否科学、合理、可行，人、财、物等基础保障条件是否具备，相关管理制度是否健全、有效，有无不确定因素和风险。</w:t>
            </w:r>
          </w:p>
          <w:p>
            <w:pPr>
              <w:pStyle w:val="null5"/>
              <w:spacing w:before="60"/>
              <w:ind w:left="60" w:right="120"/>
              <w:jc w:val="left"/>
            </w:pPr>
            <w:r>
              <w:rPr>
                <w:rFonts w:ascii="仿宋_GB2312" w:hAnsi="仿宋_GB2312" w:cs="仿宋_GB2312" w:eastAsia="仿宋_GB2312"/>
                <w:sz w:val="24"/>
              </w:rPr>
              <w:t>5、筹资合规性。评估项目的筹资行为是否符合预算法、地方政府债务管理相关规定，筹资规模是否合理，资金来源是否合法合规，其中财政性资金支持方式及相关配套经费保障渠道是否可行；按规定需开展财政承受能力评估和债务风险评估的，应通过财政承受能力评估和债务风险评估。</w:t>
            </w:r>
          </w:p>
          <w:p>
            <w:pPr>
              <w:pStyle w:val="null5"/>
              <w:spacing w:after="60"/>
              <w:ind w:left="75" w:right="30"/>
              <w:jc w:val="both"/>
            </w:pPr>
            <w:r>
              <w:rPr>
                <w:rFonts w:ascii="仿宋_GB2312" w:hAnsi="仿宋_GB2312" w:cs="仿宋_GB2312" w:eastAsia="仿宋_GB2312"/>
                <w:sz w:val="24"/>
              </w:rPr>
              <w:t>6</w:t>
            </w:r>
            <w:r>
              <w:rPr>
                <w:rFonts w:ascii="仿宋_GB2312" w:hAnsi="仿宋_GB2312" w:cs="仿宋_GB2312" w:eastAsia="仿宋_GB2312"/>
                <w:sz w:val="24"/>
              </w:rPr>
              <w:t>、其他需评估的内容。</w:t>
            </w:r>
          </w:p>
          <w:p>
            <w:pPr>
              <w:pStyle w:val="null5"/>
              <w:spacing w:before="105" w:after="60"/>
              <w:ind w:left="75" w:right="30"/>
              <w:jc w:val="both"/>
            </w:pPr>
            <w:r>
              <w:rPr>
                <w:rFonts w:ascii="仿宋_GB2312" w:hAnsi="仿宋_GB2312" w:cs="仿宋_GB2312" w:eastAsia="仿宋_GB2312"/>
                <w:sz w:val="24"/>
                <w:b/>
              </w:rPr>
              <w:t>人员要求：</w:t>
            </w:r>
          </w:p>
          <w:p>
            <w:pPr>
              <w:pStyle w:val="null5"/>
              <w:spacing w:before="105" w:after="60"/>
              <w:ind w:left="75" w:right="30"/>
              <w:jc w:val="both"/>
            </w:pPr>
            <w:r>
              <w:rPr>
                <w:rFonts w:ascii="仿宋_GB2312" w:hAnsi="仿宋_GB2312" w:cs="仿宋_GB2312" w:eastAsia="仿宋_GB2312"/>
                <w:sz w:val="24"/>
              </w:rPr>
              <w:t>详见附件清单。</w:t>
            </w:r>
          </w:p>
          <w:p>
            <w:pPr>
              <w:pStyle w:val="null5"/>
              <w:jc w:val="both"/>
            </w:pPr>
            <w:r>
              <w:rPr>
                <w:rFonts w:ascii="仿宋_GB2312" w:hAnsi="仿宋_GB2312" w:cs="仿宋_GB2312" w:eastAsia="仿宋_GB2312"/>
                <w:sz w:val="24"/>
              </w:rPr>
              <w:t>注：项目实施过程中项目负责人、技术负责人、主要管理人员等必须与其投标承诺相一致并持证上岗，不得擅自更换。</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项目负责人</w:t>
            </w:r>
          </w:p>
        </w:tc>
        <w:tc>
          <w:tcPr>
            <w:tcW w:type="dxa" w:w="4984"/>
          </w:tcPr>
          <w:p>
            <w:pPr>
              <w:pStyle w:val="null5"/>
              <w:jc w:val="left"/>
            </w:pPr>
            <w:r>
              <w:rPr>
                <w:rFonts w:ascii="仿宋_GB2312" w:hAnsi="仿宋_GB2312" w:cs="仿宋_GB2312" w:eastAsia="仿宋_GB2312"/>
              </w:rPr>
              <w:t>拟派项目负责人须具有审计专业中级以上（含中级）职称。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技术部分75.00分</w:t>
            </w:r>
          </w:p>
          <w:p>
            <w:pPr>
              <w:pStyle w:val="null5"/>
              <w:jc w:val="left"/>
            </w:pPr>
            <w:r>
              <w:rPr>
                <w:rFonts w:ascii="仿宋_GB2312" w:hAnsi="仿宋_GB2312" w:cs="仿宋_GB2312" w:eastAsia="仿宋_GB2312"/>
              </w:rPr>
              <w:t>商务部分15.00分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全过程管理咨询服务总体实施方案</w:t>
            </w:r>
          </w:p>
        </w:tc>
        <w:tc>
          <w:tcPr>
            <w:tcW w:type="dxa" w:w="3115"/>
          </w:tcPr>
          <w:p>
            <w:pPr>
              <w:pStyle w:val="null5"/>
              <w:jc w:val="left"/>
            </w:pPr>
            <w:r>
              <w:rPr>
                <w:rFonts w:ascii="仿宋_GB2312" w:hAnsi="仿宋_GB2312" w:cs="仿宋_GB2312" w:eastAsia="仿宋_GB2312"/>
              </w:rPr>
              <w:t>根据供应商针对本项目提供的全过程管理咨询服务总体实施方案进行评分，包括但不限于以下内容： （1）项目需求理解分析； （2）总体目标描述； （3）整体工作部署； （4）组织机构设置； （5）廉洁风险防控措施。 以上要素内容每缺少一项扣3分，每项中每有一处存在缺陷或不足、内容不完整或不符合项目实际情况的扣1.5分，每一项要素内容最多扣3分，本项最多扣15分。 注:（1）缺陷或不足是指内容逻辑混乱，不符合相关的国家、行业标准；（2）不完整指内容具有明显缺陷，前后内容无法连贯，不符合项目实际情况（内容脱离了实际采购情况）不利于采购人依照方案实施项目。</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服务工作内容及方案</w:t>
            </w:r>
          </w:p>
        </w:tc>
        <w:tc>
          <w:tcPr>
            <w:tcW w:type="dxa" w:w="3115"/>
          </w:tcPr>
          <w:p>
            <w:pPr>
              <w:pStyle w:val="null5"/>
              <w:jc w:val="left"/>
            </w:pPr>
            <w:r>
              <w:rPr>
                <w:rFonts w:ascii="仿宋_GB2312" w:hAnsi="仿宋_GB2312" w:cs="仿宋_GB2312" w:eastAsia="仿宋_GB2312"/>
              </w:rPr>
              <w:t>根据供应商提供的服务工作内容及方案进行评分，包括但不限于以下内容： （1）服务工作内容； （2）关键技术问题的认识及其对策措施； （3）风险预测与防范对策； （4）后续工作服务支持能力； （5）验收方案。 以上要素内容每缺少一项扣3分，每项中每有一处存在缺陷或不足、内容不完整或不符合项目实际情况的扣1.5分，每一项要素内容最多扣3分，本项最多扣15分。 注:（1）缺陷或不足是指内容逻辑混乱，不符合相关的国家、行业标准；（2）不完整指内容具有明显缺陷，前后内容无法连贯，不符合项目实际情况（内容脱离了实际采购情况）不利于采购人依照方案实施项目。</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工作进度计划</w:t>
            </w:r>
          </w:p>
        </w:tc>
        <w:tc>
          <w:tcPr>
            <w:tcW w:type="dxa" w:w="3115"/>
          </w:tcPr>
          <w:p>
            <w:pPr>
              <w:pStyle w:val="null5"/>
              <w:jc w:val="left"/>
            </w:pPr>
            <w:r>
              <w:rPr>
                <w:rFonts w:ascii="仿宋_GB2312" w:hAnsi="仿宋_GB2312" w:cs="仿宋_GB2312" w:eastAsia="仿宋_GB2312"/>
              </w:rPr>
              <w:t>根据供应商提供的工作进度计划进行评分，包括但不限于以下内容： （1）项目进度管理方法； （2）工作流程； （3）项目实施关键节点分析及应对； （4）各部分任务及其完成时间明确； （5）项目进度保证措施。 以上要素内容每缺少一项扣3分，每项中每有一处存在缺陷或不足、内容不完整或不符合项目实际情况的扣1.5分，每一项要素内容最多扣3分，本项最多扣15分。 注:（1）缺陷或不足是指内容逻辑混乱，不符合相关的国家、行业标准；（2）不完整指内容具有明显缺陷，前后内容无法连贯，不符合项目实际情况（内容脱离了实际采购情况）不利于采购人依照方案实施项目。</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成果及保密措施</w:t>
            </w:r>
          </w:p>
        </w:tc>
        <w:tc>
          <w:tcPr>
            <w:tcW w:type="dxa" w:w="3115"/>
          </w:tcPr>
          <w:p>
            <w:pPr>
              <w:pStyle w:val="null5"/>
              <w:jc w:val="left"/>
            </w:pPr>
            <w:r>
              <w:rPr>
                <w:rFonts w:ascii="仿宋_GB2312" w:hAnsi="仿宋_GB2312" w:cs="仿宋_GB2312" w:eastAsia="仿宋_GB2312"/>
              </w:rPr>
              <w:t>根据供应商提供的成果及保密措施进行评分，包括但不限于以下内容： （1）主要成果； （2）日常保密管理； （3）保密人员管理； （4）保密制度 ； （5）保密措施。 以上要素内容每缺少一项扣3分，每项中每有一处存在缺陷或不足、内容不完整或不符合项目实际情况的扣1.5分，每一项要素内容最多扣3分，本项最多扣15分。 注:（1）缺陷或不足是指内容逻辑混乱，不符合相关的国家、行业标准；（2）不完整指内容具有明显缺陷，前后内容无法连贯，不符合项目实际情况（内容脱离了实际采购情况）不利于采购人依照方案实施项目。</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质量承诺及管理措施</w:t>
            </w:r>
          </w:p>
        </w:tc>
        <w:tc>
          <w:tcPr>
            <w:tcW w:type="dxa" w:w="3115"/>
          </w:tcPr>
          <w:p>
            <w:pPr>
              <w:pStyle w:val="null5"/>
              <w:jc w:val="left"/>
            </w:pPr>
            <w:r>
              <w:rPr>
                <w:rFonts w:ascii="仿宋_GB2312" w:hAnsi="仿宋_GB2312" w:cs="仿宋_GB2312" w:eastAsia="仿宋_GB2312"/>
              </w:rPr>
              <w:t>根据供应商提供的质量承诺及管理措施进行评分，包括但不限于以下内容： （1）质量保证体系； （2）服务质量保证措施； （3）质量关键点分析及应对； （4）质量管理组织机构； （5）服务质量承诺。 以上要素内容每缺少一项扣3分，每项中每有一处存在缺陷或不足、内容不完整或不符合项目实际情况的扣1.5分，每一项要素内容最多扣3分，本项最多扣15分。 注:（1）缺陷或不足是指内容逻辑混乱，不符合相关的国家、行业标准；（2）不完整指内容具有明显缺陷，前后内容无法连贯，不符合项目实际情况（内容脱离了实际采购情况）不利于采购人依照方案实施项目。</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类似业绩</w:t>
            </w:r>
          </w:p>
        </w:tc>
        <w:tc>
          <w:tcPr>
            <w:tcW w:type="dxa" w:w="3115"/>
          </w:tcPr>
          <w:p>
            <w:pPr>
              <w:pStyle w:val="null5"/>
              <w:jc w:val="left"/>
            </w:pPr>
            <w:r>
              <w:rPr>
                <w:rFonts w:ascii="仿宋_GB2312" w:hAnsi="仿宋_GB2312" w:cs="仿宋_GB2312" w:eastAsia="仿宋_GB2312"/>
              </w:rPr>
              <w:t>根据供应商承担过的类似服务业绩进行评审，每提供一份业绩得3分，此项最高得12分。 注：须提供中标（成交）通知书或合同扫描件，不提供或者扫描件不清晰不得分。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廉洁承诺</w:t>
            </w:r>
          </w:p>
        </w:tc>
        <w:tc>
          <w:tcPr>
            <w:tcW w:type="dxa" w:w="3115"/>
          </w:tcPr>
          <w:p>
            <w:pPr>
              <w:pStyle w:val="null5"/>
              <w:jc w:val="left"/>
            </w:pPr>
            <w:r>
              <w:rPr>
                <w:rFonts w:ascii="仿宋_GB2312" w:hAnsi="仿宋_GB2312" w:cs="仿宋_GB2312" w:eastAsia="仿宋_GB2312"/>
              </w:rPr>
              <w:t>廉洁承诺，承诺格式自拟，内容不限于执业操守、内部管理制度。提供廉洁承诺函得1分，没有承诺函或者承诺函内容未体现上述要求的，不得分。</w:t>
            </w:r>
          </w:p>
        </w:tc>
        <w:tc>
          <w:tcPr>
            <w:tcW w:type="dxa" w:w="1038"/>
          </w:tcPr>
          <w:p>
            <w:pPr>
              <w:pStyle w:val="null5"/>
              <w:jc w:val="right"/>
            </w:pPr>
            <w:r>
              <w:rPr>
                <w:rFonts w:ascii="仿宋_GB2312" w:hAnsi="仿宋_GB2312" w:cs="仿宋_GB2312" w:eastAsia="仿宋_GB2312"/>
              </w:rPr>
              <w:t>1.00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驻场服务承诺</w:t>
            </w:r>
          </w:p>
        </w:tc>
        <w:tc>
          <w:tcPr>
            <w:tcW w:type="dxa" w:w="3115"/>
          </w:tcPr>
          <w:p>
            <w:pPr>
              <w:pStyle w:val="null5"/>
              <w:jc w:val="left"/>
            </w:pPr>
            <w:r>
              <w:rPr>
                <w:rFonts w:ascii="仿宋_GB2312" w:hAnsi="仿宋_GB2312" w:cs="仿宋_GB2312" w:eastAsia="仿宋_GB2312"/>
              </w:rPr>
              <w:t>本项目服务期间，供应商承诺拟派项目负责人及团队人员提供驻场服务，提供驻场服务承诺函得2分，没有承诺函或者承诺函内容未体现上述要求的，不得分。</w:t>
            </w:r>
          </w:p>
        </w:tc>
        <w:tc>
          <w:tcPr>
            <w:tcW w:type="dxa" w:w="1038"/>
          </w:tcPr>
          <w:p>
            <w:pPr>
              <w:pStyle w:val="null5"/>
              <w:jc w:val="right"/>
            </w:pPr>
            <w:r>
              <w:rPr>
                <w:rFonts w:ascii="仿宋_GB2312" w:hAnsi="仿宋_GB2312" w:cs="仿宋_GB2312" w:eastAsia="仿宋_GB2312"/>
              </w:rPr>
              <w:t>2.00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